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0B1" w:rsidRPr="00E0535D" w:rsidRDefault="008B50B1" w:rsidP="008B50B1">
      <w:pPr>
        <w:tabs>
          <w:tab w:val="left" w:pos="9000"/>
        </w:tabs>
        <w:autoSpaceDE w:val="0"/>
        <w:autoSpaceDN w:val="0"/>
        <w:adjustRightInd w:val="0"/>
        <w:rPr>
          <w:b/>
        </w:rPr>
      </w:pPr>
      <w:r>
        <w:rPr>
          <w:noProof/>
          <w:lang w:val="en-US" w:eastAsia="en-US"/>
        </w:rPr>
        <mc:AlternateContent>
          <mc:Choice Requires="wps">
            <w:drawing>
              <wp:anchor distT="0" distB="0" distL="114300" distR="114300" simplePos="0" relativeHeight="251659264" behindDoc="0" locked="0" layoutInCell="1" allowOverlap="1" wp14:anchorId="0E1536CC" wp14:editId="5EE3DF8A">
                <wp:simplePos x="0" y="0"/>
                <wp:positionH relativeFrom="column">
                  <wp:posOffset>118122</wp:posOffset>
                </wp:positionH>
                <wp:positionV relativeFrom="paragraph">
                  <wp:posOffset>458045</wp:posOffset>
                </wp:positionV>
                <wp:extent cx="2447925" cy="0"/>
                <wp:effectExtent l="0" t="0" r="28575" b="1905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AF7AED" id="_x0000_t32" coordsize="21600,21600" o:spt="32" o:oned="t" path="m,l21600,21600e" filled="f">
                <v:path arrowok="t" fillok="f" o:connecttype="none"/>
                <o:lock v:ext="edit" shapetype="t"/>
              </v:shapetype>
              <v:shape id="AutoShape 3" o:spid="_x0000_s1026" type="#_x0000_t32" style="position:absolute;margin-left:9.3pt;margin-top:36.05pt;width:19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" strokecolor="black [3213]" strokeweight="1pt"/>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67038A25" wp14:editId="0DD7A58E">
                <wp:simplePos x="0" y="0"/>
                <wp:positionH relativeFrom="column">
                  <wp:posOffset>3019121</wp:posOffset>
                </wp:positionH>
                <wp:positionV relativeFrom="paragraph">
                  <wp:posOffset>468630</wp:posOffset>
                </wp:positionV>
                <wp:extent cx="2447925" cy="0"/>
                <wp:effectExtent l="0" t="0" r="28575" b="1905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1270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32FDCA" id="AutoShape 4" o:spid="_x0000_s1026" type="#_x0000_t32" style="position:absolute;margin-left:237.75pt;margin-top:36.9pt;width:19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" strokecolor="black [3213]" strokeweight="1pt"/>
            </w:pict>
          </mc:Fallback>
        </mc:AlternateContent>
      </w:r>
      <w:r>
        <w:t xml:space="preserve">                                                      </w:t>
      </w:r>
      <w:r w:rsidRPr="00E0535D">
        <w:t xml:space="preserve">   </w:t>
      </w:r>
      <w:r w:rsidR="00E929EB">
        <w:t xml:space="preserve">   </w:t>
      </w:r>
      <w:r w:rsidRPr="00E0535D">
        <w:t xml:space="preserve">       </w:t>
      </w:r>
      <w:r w:rsidRPr="00E0535D">
        <w:object w:dxaOrig="2175" w:dyaOrig="3150">
          <v:shape id="_x0000_i1026" type="#_x0000_t75" style="width:35.25pt;height:42pt" o:ole="" o:preferrelative="f" fillcolor="window">
            <v:imagedata r:id="rId8" o:title=""/>
            <o:lock v:ext="edit" aspectratio="f"/>
          </v:shape>
          <o:OLEObject Type="Embed" ProgID="Unknown" ShapeID="_x0000_i1026" DrawAspect="Content" ObjectID="_1820650003" r:id="rId9"/>
        </w:object>
      </w:r>
    </w:p>
    <w:p w:rsidR="008B50B1" w:rsidRPr="00E0535D" w:rsidRDefault="00575A8E" w:rsidP="008B50B1">
      <w:pPr>
        <w:pStyle w:val="Heading2"/>
        <w:jc w:val="center"/>
        <w:rPr>
          <w:sz w:val="24"/>
        </w:rPr>
      </w:pPr>
      <w:r>
        <w:rPr>
          <w:sz w:val="24"/>
        </w:rPr>
        <w:t xml:space="preserve">      </w:t>
      </w:r>
      <w:r w:rsidR="008B50B1" w:rsidRPr="00E0535D">
        <w:rPr>
          <w:sz w:val="24"/>
        </w:rPr>
        <w:t>R E P U B L I K A   E   S H Q I P Ë R I S Ë</w:t>
      </w:r>
    </w:p>
    <w:p w:rsidR="008B50B1" w:rsidRPr="00E0535D" w:rsidRDefault="008B50B1" w:rsidP="008B50B1">
      <w:pPr>
        <w:jc w:val="center"/>
        <w:rPr>
          <w:b/>
        </w:rPr>
      </w:pPr>
      <w:r w:rsidRPr="00E0535D">
        <w:rPr>
          <w:b/>
        </w:rPr>
        <w:t>KOMISIONERI PËR TË DREJTËN E INFORMIMIT DHE MBROJTJEN E TË DHËNAVE PERSONALE</w:t>
      </w:r>
    </w:p>
    <w:p w:rsidR="008B50B1" w:rsidRPr="00E0535D" w:rsidRDefault="008B50B1" w:rsidP="00FA430F">
      <w:pPr>
        <w:spacing w:after="120" w:line="276" w:lineRule="auto"/>
        <w:jc w:val="both"/>
        <w:rPr>
          <w:rFonts w:eastAsia="Calibri"/>
        </w:rPr>
      </w:pPr>
      <w:r>
        <w:rPr>
          <w:rFonts w:eastAsia="Calibri"/>
        </w:rPr>
        <w:t xml:space="preserve"> </w:t>
      </w:r>
    </w:p>
    <w:p w:rsidR="008233D2" w:rsidRDefault="008233D2" w:rsidP="00E76D5D">
      <w:pPr>
        <w:spacing w:line="276" w:lineRule="auto"/>
        <w:ind w:left="900" w:right="140" w:hanging="900"/>
        <w:jc w:val="center"/>
      </w:pPr>
      <w:r w:rsidRPr="00704FD0">
        <w:t xml:space="preserve">Raport i monitorimit mbi performancën e produkteve/shpenzimeve për </w:t>
      </w:r>
      <w:r w:rsidR="00525849">
        <w:t xml:space="preserve">periudhën Janar </w:t>
      </w:r>
      <w:r w:rsidR="00110193">
        <w:t>–</w:t>
      </w:r>
      <w:r w:rsidR="00525849">
        <w:t xml:space="preserve"> </w:t>
      </w:r>
      <w:r w:rsidR="00110193">
        <w:t xml:space="preserve">Gusht </w:t>
      </w:r>
      <w:r w:rsidR="00525849">
        <w:t>2025</w:t>
      </w:r>
    </w:p>
    <w:p w:rsidR="00E76D5D" w:rsidRPr="00704FD0" w:rsidRDefault="00E76D5D" w:rsidP="00E76D5D">
      <w:pPr>
        <w:spacing w:line="276" w:lineRule="auto"/>
        <w:ind w:left="900" w:right="140" w:hanging="900"/>
        <w:jc w:val="center"/>
      </w:pPr>
    </w:p>
    <w:p w:rsidR="008C1FBE" w:rsidRPr="0050721B" w:rsidRDefault="008233D2" w:rsidP="0050721B">
      <w:pPr>
        <w:spacing w:line="276" w:lineRule="auto"/>
        <w:jc w:val="both"/>
      </w:pPr>
      <w:r w:rsidRPr="0050721B">
        <w:rPr>
          <w:color w:val="0D0D0D" w:themeColor="text1" w:themeTint="F2"/>
        </w:rPr>
        <w:t>Në mbështetje të Ligjit nr. 9936, datë 26.06.2008 “Për me</w:t>
      </w:r>
      <w:r w:rsidR="00A312BA" w:rsidRPr="0050721B">
        <w:rPr>
          <w:color w:val="0D0D0D" w:themeColor="text1" w:themeTint="F2"/>
        </w:rPr>
        <w:t xml:space="preserve">naxhimin e sistemit buxhetor në </w:t>
      </w:r>
      <w:r w:rsidRPr="0050721B">
        <w:rPr>
          <w:color w:val="0D0D0D" w:themeColor="text1" w:themeTint="F2"/>
        </w:rPr>
        <w:t xml:space="preserve">Republikën e Shqipërisë”, i ndryshuar, Ligjit nr.10296, datë 8.07.2010                                       “Për menaxhimin financiar dhe kontrollin”, i ndryshuar, </w:t>
      </w:r>
      <w:r w:rsidRPr="0050721B">
        <w:rPr>
          <w:color w:val="0D0D0D" w:themeColor="text1" w:themeTint="F2"/>
          <w:lang w:val="it-IT"/>
        </w:rPr>
        <w:t xml:space="preserve">Ligjit </w:t>
      </w:r>
      <w:r w:rsidRPr="0050721B">
        <w:rPr>
          <w:color w:val="0D0D0D" w:themeColor="text1" w:themeTint="F2"/>
        </w:rPr>
        <w:t>nr.</w:t>
      </w:r>
      <w:r w:rsidR="00525849" w:rsidRPr="0050721B">
        <w:rPr>
          <w:color w:val="0D0D0D" w:themeColor="text1" w:themeTint="F2"/>
        </w:rPr>
        <w:t>115</w:t>
      </w:r>
      <w:r w:rsidRPr="0050721B">
        <w:rPr>
          <w:color w:val="0D0D0D" w:themeColor="text1" w:themeTint="F2"/>
        </w:rPr>
        <w:t>/202</w:t>
      </w:r>
      <w:r w:rsidR="00525849" w:rsidRPr="0050721B">
        <w:rPr>
          <w:color w:val="0D0D0D" w:themeColor="text1" w:themeTint="F2"/>
        </w:rPr>
        <w:t>4</w:t>
      </w:r>
      <w:r w:rsidRPr="0050721B">
        <w:rPr>
          <w:color w:val="0D0D0D" w:themeColor="text1" w:themeTint="F2"/>
        </w:rPr>
        <w:t xml:space="preserve"> “Për buxhetin e vitit 202</w:t>
      </w:r>
      <w:r w:rsidR="00525849" w:rsidRPr="0050721B">
        <w:rPr>
          <w:color w:val="0D0D0D" w:themeColor="text1" w:themeTint="F2"/>
        </w:rPr>
        <w:t>5</w:t>
      </w:r>
      <w:r w:rsidR="00575A8E">
        <w:rPr>
          <w:color w:val="0D0D0D" w:themeColor="text1" w:themeTint="F2"/>
        </w:rPr>
        <w:t>”,</w:t>
      </w:r>
      <w:r w:rsidR="00525849" w:rsidRPr="0050721B">
        <w:rPr>
          <w:color w:val="0D0D0D" w:themeColor="text1" w:themeTint="F2"/>
        </w:rPr>
        <w:t xml:space="preserve"> </w:t>
      </w:r>
      <w:r w:rsidRPr="0050721B">
        <w:rPr>
          <w:color w:val="262626" w:themeColor="text1" w:themeTint="D9"/>
        </w:rPr>
        <w:t>Udhëzimit plotësues nr.</w:t>
      </w:r>
      <w:r w:rsidR="005160E2" w:rsidRPr="0050721B">
        <w:rPr>
          <w:color w:val="262626" w:themeColor="text1" w:themeTint="D9"/>
        </w:rPr>
        <w:t xml:space="preserve"> </w:t>
      </w:r>
      <w:r w:rsidR="00525849" w:rsidRPr="0050721B">
        <w:rPr>
          <w:color w:val="262626" w:themeColor="text1" w:themeTint="D9"/>
        </w:rPr>
        <w:t>2</w:t>
      </w:r>
      <w:r w:rsidRPr="0050721B">
        <w:rPr>
          <w:color w:val="262626" w:themeColor="text1" w:themeTint="D9"/>
        </w:rPr>
        <w:t>, datë 24.01.202</w:t>
      </w:r>
      <w:r w:rsidR="00525849" w:rsidRPr="0050721B">
        <w:rPr>
          <w:color w:val="262626" w:themeColor="text1" w:themeTint="D9"/>
        </w:rPr>
        <w:t>5</w:t>
      </w:r>
      <w:r w:rsidRPr="0050721B">
        <w:rPr>
          <w:color w:val="262626" w:themeColor="text1" w:themeTint="D9"/>
        </w:rPr>
        <w:t>4 “Për zbatimin e buxhetit të vitit 202</w:t>
      </w:r>
      <w:r w:rsidR="00525849" w:rsidRPr="0050721B">
        <w:rPr>
          <w:color w:val="262626" w:themeColor="text1" w:themeTint="D9"/>
        </w:rPr>
        <w:t>5</w:t>
      </w:r>
      <w:r w:rsidRPr="0050721B">
        <w:rPr>
          <w:color w:val="262626" w:themeColor="text1" w:themeTint="D9"/>
        </w:rPr>
        <w:t xml:space="preserve">”, </w:t>
      </w:r>
      <w:r w:rsidRPr="0050721B">
        <w:rPr>
          <w:color w:val="0D0D0D" w:themeColor="text1" w:themeTint="F2"/>
        </w:rPr>
        <w:t>Zyra e Komisionerit për të Drejtën e Informimit dhe Mbrojtjen e të Dhënave Personale (këtej e tutje “Zyra e Komisionerit” os</w:t>
      </w:r>
      <w:r w:rsidR="00FA430F" w:rsidRPr="0050721B">
        <w:rPr>
          <w:color w:val="0D0D0D" w:themeColor="text1" w:themeTint="F2"/>
        </w:rPr>
        <w:t xml:space="preserve">e KDIMDP), ka kryer </w:t>
      </w:r>
      <w:r w:rsidR="00110193" w:rsidRPr="0050721B">
        <w:rPr>
          <w:color w:val="0D0D0D" w:themeColor="text1" w:themeTint="F2"/>
        </w:rPr>
        <w:t xml:space="preserve">vijuar me </w:t>
      </w:r>
      <w:r w:rsidR="00FA430F" w:rsidRPr="0050721B">
        <w:rPr>
          <w:color w:val="0D0D0D" w:themeColor="text1" w:themeTint="F2"/>
        </w:rPr>
        <w:t>monitorimin</w:t>
      </w:r>
      <w:r w:rsidRPr="0050721B">
        <w:rPr>
          <w:color w:val="0D0D0D" w:themeColor="text1" w:themeTint="F2"/>
        </w:rPr>
        <w:t xml:space="preserve"> e </w:t>
      </w:r>
      <w:r w:rsidR="005160E2" w:rsidRPr="0050721B">
        <w:rPr>
          <w:color w:val="0D0D0D" w:themeColor="text1" w:themeTint="F2"/>
        </w:rPr>
        <w:t xml:space="preserve">zbatimit të buxhetit për </w:t>
      </w:r>
      <w:r w:rsidR="00110193" w:rsidRPr="0050721B">
        <w:rPr>
          <w:color w:val="0D0D0D" w:themeColor="text1" w:themeTint="F2"/>
        </w:rPr>
        <w:t>periudh</w:t>
      </w:r>
      <w:r w:rsidR="008C1FBE" w:rsidRPr="0050721B">
        <w:rPr>
          <w:color w:val="0D0D0D" w:themeColor="text1" w:themeTint="F2"/>
        </w:rPr>
        <w:t>ë</w:t>
      </w:r>
      <w:r w:rsidR="00575A8E">
        <w:rPr>
          <w:color w:val="0D0D0D" w:themeColor="text1" w:themeTint="F2"/>
        </w:rPr>
        <w:t xml:space="preserve">n Janar - </w:t>
      </w:r>
      <w:r w:rsidR="00110193" w:rsidRPr="0050721B">
        <w:rPr>
          <w:color w:val="0D0D0D" w:themeColor="text1" w:themeTint="F2"/>
        </w:rPr>
        <w:t>Gusht 2025</w:t>
      </w:r>
      <w:r w:rsidR="00575A8E">
        <w:rPr>
          <w:color w:val="0D0D0D" w:themeColor="text1" w:themeTint="F2"/>
        </w:rPr>
        <w:t>.</w:t>
      </w:r>
    </w:p>
    <w:p w:rsidR="00525849" w:rsidRPr="0050721B" w:rsidRDefault="00911725" w:rsidP="0050721B">
      <w:pPr>
        <w:spacing w:line="276" w:lineRule="auto"/>
        <w:jc w:val="both"/>
        <w:rPr>
          <w:color w:val="0D0D0D" w:themeColor="text1" w:themeTint="F2"/>
        </w:rPr>
      </w:pPr>
      <w:r w:rsidRPr="0050721B">
        <w:rPr>
          <w:color w:val="0D0D0D" w:themeColor="text1" w:themeTint="F2"/>
        </w:rPr>
        <w:t xml:space="preserve"> </w:t>
      </w:r>
    </w:p>
    <w:p w:rsidR="00235F36" w:rsidRPr="0050721B" w:rsidRDefault="00A312BA" w:rsidP="0050721B">
      <w:pPr>
        <w:spacing w:line="276" w:lineRule="auto"/>
        <w:jc w:val="both"/>
        <w:rPr>
          <w:b/>
          <w:color w:val="0D0D0D" w:themeColor="text1" w:themeTint="F2"/>
        </w:rPr>
      </w:pPr>
      <w:r w:rsidRPr="0050721B">
        <w:rPr>
          <w:b/>
          <w:color w:val="0D0D0D" w:themeColor="text1" w:themeTint="F2"/>
        </w:rPr>
        <w:t>I-</w:t>
      </w:r>
      <w:r w:rsidR="00525849" w:rsidRPr="0050721B">
        <w:rPr>
          <w:b/>
          <w:color w:val="0D0D0D" w:themeColor="text1" w:themeTint="F2"/>
        </w:rPr>
        <w:t>Q</w:t>
      </w:r>
      <w:r w:rsidR="00875364" w:rsidRPr="0050721B">
        <w:rPr>
          <w:b/>
        </w:rPr>
        <w:t>Ë</w:t>
      </w:r>
      <w:r w:rsidR="00525849" w:rsidRPr="0050721B">
        <w:rPr>
          <w:b/>
          <w:color w:val="0D0D0D" w:themeColor="text1" w:themeTint="F2"/>
        </w:rPr>
        <w:t xml:space="preserve">LLIMI I RAPORTIT </w:t>
      </w:r>
    </w:p>
    <w:p w:rsidR="00A312BA" w:rsidRPr="0050721B" w:rsidRDefault="00A312BA" w:rsidP="0050721B">
      <w:pPr>
        <w:spacing w:line="276" w:lineRule="auto"/>
        <w:jc w:val="both"/>
        <w:rPr>
          <w:b/>
          <w:color w:val="0D0D0D" w:themeColor="text1" w:themeTint="F2"/>
        </w:rPr>
      </w:pPr>
    </w:p>
    <w:p w:rsidR="00625D08" w:rsidRPr="0050721B" w:rsidRDefault="00B151F5" w:rsidP="0050721B">
      <w:pPr>
        <w:spacing w:line="276" w:lineRule="auto"/>
        <w:jc w:val="both"/>
        <w:rPr>
          <w:color w:val="0D0D0D" w:themeColor="text1" w:themeTint="F2"/>
        </w:rPr>
      </w:pPr>
      <w:r w:rsidRPr="0050721B">
        <w:rPr>
          <w:color w:val="0D0D0D" w:themeColor="text1" w:themeTint="F2"/>
        </w:rPr>
        <w:t xml:space="preserve">Ky </w:t>
      </w:r>
      <w:r w:rsidR="00575A8E">
        <w:rPr>
          <w:color w:val="0D0D0D" w:themeColor="text1" w:themeTint="F2"/>
        </w:rPr>
        <w:t>relacion</w:t>
      </w:r>
      <w:r w:rsidRPr="0050721B">
        <w:rPr>
          <w:color w:val="0D0D0D" w:themeColor="text1" w:themeTint="F2"/>
        </w:rPr>
        <w:t xml:space="preserve"> ka p</w:t>
      </w:r>
      <w:r w:rsidR="00875364" w:rsidRPr="0050721B">
        <w:rPr>
          <w:color w:val="0D0D0D" w:themeColor="text1" w:themeTint="F2"/>
        </w:rPr>
        <w:t>ë</w:t>
      </w:r>
      <w:r w:rsidRPr="0050721B">
        <w:rPr>
          <w:color w:val="0D0D0D" w:themeColor="text1" w:themeTint="F2"/>
        </w:rPr>
        <w:t>r q</w:t>
      </w:r>
      <w:r w:rsidR="00875364" w:rsidRPr="0050721B">
        <w:rPr>
          <w:color w:val="0D0D0D" w:themeColor="text1" w:themeTint="F2"/>
        </w:rPr>
        <w:t>ë</w:t>
      </w:r>
      <w:r w:rsidRPr="0050721B">
        <w:rPr>
          <w:color w:val="0D0D0D" w:themeColor="text1" w:themeTint="F2"/>
        </w:rPr>
        <w:t xml:space="preserve">llim </w:t>
      </w:r>
      <w:r w:rsidR="00625D08" w:rsidRPr="0050721B">
        <w:t xml:space="preserve">paraqitjen e ecurisë së treguesve të performancës të Zyrës së Komisionerit për periudhën raportuese, duke u fokusuar si në aspektin sasior financiar ashtu edhe në atë jo-financiar. Raporti synon të ofrojë një panoramë të qartë mbi realizimin e objektivave institucionale dhe identifikimin e fushave që kërkojnë përmirësim, duke analizuar </w:t>
      </w:r>
      <w:r w:rsidR="00625D08" w:rsidRPr="0050721B">
        <w:rPr>
          <w:color w:val="0D0D0D" w:themeColor="text1" w:themeTint="F2"/>
        </w:rPr>
        <w:t>mospërputhjet, vonesa</w:t>
      </w:r>
      <w:r w:rsidR="00575A8E">
        <w:rPr>
          <w:color w:val="0D0D0D" w:themeColor="text1" w:themeTint="F2"/>
        </w:rPr>
        <w:t>t apo problematikat në zbatim.</w:t>
      </w:r>
    </w:p>
    <w:p w:rsidR="00911725" w:rsidRPr="0050721B" w:rsidRDefault="007D7596" w:rsidP="0050721B">
      <w:pPr>
        <w:spacing w:line="276" w:lineRule="auto"/>
        <w:jc w:val="both"/>
        <w:rPr>
          <w:color w:val="0D0D0D" w:themeColor="text1" w:themeTint="F2"/>
        </w:rPr>
      </w:pPr>
      <w:r w:rsidRPr="0050721B">
        <w:t>Ky relacion shërben si mjet për vlerësimin e progresit të arritur dhe për or</w:t>
      </w:r>
      <w:r w:rsidR="00363931">
        <w:t>ientimin e veprimeve në periudhë</w:t>
      </w:r>
      <w:r w:rsidRPr="0050721B">
        <w:t>n e mbetur të vitit 2025, me synimin për të garantuar realizimin e plotë të objektivave të planifikuara</w:t>
      </w:r>
    </w:p>
    <w:p w:rsidR="00875364" w:rsidRPr="0050721B" w:rsidRDefault="00625D08" w:rsidP="0050721B">
      <w:pPr>
        <w:spacing w:line="276" w:lineRule="auto"/>
        <w:jc w:val="both"/>
        <w:rPr>
          <w:color w:val="0D0D0D" w:themeColor="text1" w:themeTint="F2"/>
        </w:rPr>
      </w:pPr>
      <w:r w:rsidRPr="0050721B">
        <w:rPr>
          <w:color w:val="0D0D0D" w:themeColor="text1" w:themeTint="F2"/>
        </w:rPr>
        <w:t xml:space="preserve"> </w:t>
      </w:r>
    </w:p>
    <w:p w:rsidR="00235F36" w:rsidRPr="0050721B" w:rsidRDefault="00235F36" w:rsidP="0050721B">
      <w:pPr>
        <w:spacing w:line="276" w:lineRule="auto"/>
        <w:jc w:val="both"/>
      </w:pPr>
      <w:r w:rsidRPr="0050721B">
        <w:t>Misioni i Zyrës së Komisionerit është monitorimi dhe mbikëqyrja e zbatimit të kuadrit ligjor në fushën e të drejtës për informim, mbrojtjes së të dhënave personale, dhe të dhënave të hapura e ripërdorimit të informacionit të sektorit publik, për të siguruar ushtrimin efektiv të të drejtave në epokën digjitale duke nxitur autoritetet publike dhe kontrolluesit publik e privat në ndërtimin e besimit reciprok me qytetarët, i cili sjell përmirësimin e mentalitetit dhe kulturës së shoqërisë në respektim të të drejtave dhe lirive themelore të njeriut.</w:t>
      </w:r>
    </w:p>
    <w:p w:rsidR="00235F36" w:rsidRPr="0050721B" w:rsidRDefault="00235F36" w:rsidP="0050721B">
      <w:pPr>
        <w:spacing w:line="276" w:lineRule="auto"/>
        <w:jc w:val="both"/>
      </w:pPr>
    </w:p>
    <w:p w:rsidR="00235F36" w:rsidRPr="0050721B" w:rsidRDefault="00235F36" w:rsidP="0050721B">
      <w:pPr>
        <w:spacing w:line="276" w:lineRule="auto"/>
        <w:jc w:val="both"/>
      </w:pPr>
      <w:r w:rsidRPr="0050721B">
        <w:t>Vizioni i Zyrës së Komisionerit është promovimi i një shoqërie që mban si vlera thelbësore garantimin e të drejtave dhe lirive themelore të njeriut, mbrojtjen e të dhënave personale, të drejtës për informim, dhe të dhënave të hapura, në funksion të transparencës, përgjegjshmërisë dhe llogaridhënies.</w:t>
      </w:r>
    </w:p>
    <w:p w:rsidR="00E1291B" w:rsidRPr="0050721B" w:rsidRDefault="00E1291B" w:rsidP="0050721B">
      <w:pPr>
        <w:spacing w:line="276" w:lineRule="auto"/>
        <w:jc w:val="both"/>
      </w:pPr>
    </w:p>
    <w:p w:rsidR="00E1291B" w:rsidRPr="0050721B" w:rsidRDefault="00363931" w:rsidP="0050721B">
      <w:pPr>
        <w:spacing w:line="276" w:lineRule="auto"/>
        <w:jc w:val="both"/>
      </w:pPr>
      <w:r>
        <w:t>Objektivi kryesor në</w:t>
      </w:r>
      <w:r w:rsidR="00E1291B" w:rsidRPr="0050721B">
        <w:t xml:space="preserve"> nivel strategjik është : Fuqizimi i funksionit mbik</w:t>
      </w:r>
      <w:r>
        <w:t>ë</w:t>
      </w:r>
      <w:r w:rsidR="00E1291B" w:rsidRPr="0050721B">
        <w:t>qyr</w:t>
      </w:r>
      <w:r>
        <w:t xml:space="preserve">ës/monitorues në funksion të </w:t>
      </w:r>
      <w:r w:rsidR="00E1291B" w:rsidRPr="0050721B">
        <w:t>zbatimit të kuadrit</w:t>
      </w:r>
      <w:r>
        <w:t xml:space="preserve"> ligjor në fuqi, për garantimin</w:t>
      </w:r>
      <w:r w:rsidR="00E1291B" w:rsidRPr="0050721B">
        <w:t xml:space="preserve"> e mbrojtjes së të dhënave personale dhe ruajtjen e privatësisë, në balancë me të drejtën informimit, duke garantuar qasje në informacion, transparencë dhe llogaridhënie maksimale</w:t>
      </w:r>
      <w:r w:rsidR="00575A8E">
        <w:t>.</w:t>
      </w:r>
    </w:p>
    <w:p w:rsidR="00875364" w:rsidRPr="0050721B" w:rsidRDefault="00875364" w:rsidP="0050721B">
      <w:pPr>
        <w:spacing w:line="276" w:lineRule="auto"/>
        <w:jc w:val="both"/>
        <w:rPr>
          <w:lang w:val="en-US" w:eastAsia="ko-KR"/>
        </w:rPr>
      </w:pPr>
    </w:p>
    <w:p w:rsidR="00875364" w:rsidRPr="0050721B" w:rsidRDefault="000B78A2" w:rsidP="0050721B">
      <w:pPr>
        <w:spacing w:line="276" w:lineRule="auto"/>
        <w:jc w:val="both"/>
        <w:rPr>
          <w:b/>
          <w:color w:val="0D0D0D" w:themeColor="text1" w:themeTint="F2"/>
        </w:rPr>
      </w:pPr>
      <w:r w:rsidRPr="0050721B">
        <w:rPr>
          <w:b/>
          <w:color w:val="0D0D0D" w:themeColor="text1" w:themeTint="F2"/>
        </w:rPr>
        <w:t>O</w:t>
      </w:r>
      <w:r w:rsidR="00235F36" w:rsidRPr="0050721B">
        <w:rPr>
          <w:b/>
          <w:color w:val="0D0D0D" w:themeColor="text1" w:themeTint="F2"/>
        </w:rPr>
        <w:t xml:space="preserve">bjektivat </w:t>
      </w:r>
      <w:r w:rsidR="00363931">
        <w:rPr>
          <w:b/>
          <w:color w:val="0D0D0D" w:themeColor="text1" w:themeTint="F2"/>
        </w:rPr>
        <w:t xml:space="preserve">në </w:t>
      </w:r>
      <w:r w:rsidR="00E1291B" w:rsidRPr="0050721B">
        <w:rPr>
          <w:b/>
          <w:color w:val="0D0D0D" w:themeColor="text1" w:themeTint="F2"/>
        </w:rPr>
        <w:t xml:space="preserve">nivelin operacional të </w:t>
      </w:r>
      <w:r w:rsidR="00235F36" w:rsidRPr="0050721B">
        <w:rPr>
          <w:b/>
          <w:color w:val="0D0D0D" w:themeColor="text1" w:themeTint="F2"/>
        </w:rPr>
        <w:t xml:space="preserve">Zyrës së Komisionerit </w:t>
      </w:r>
      <w:r w:rsidRPr="0050721B">
        <w:rPr>
          <w:b/>
          <w:color w:val="0D0D0D" w:themeColor="text1" w:themeTint="F2"/>
        </w:rPr>
        <w:t>p</w:t>
      </w:r>
      <w:r w:rsidR="00E1291B" w:rsidRPr="0050721B">
        <w:rPr>
          <w:b/>
          <w:color w:val="0D0D0D" w:themeColor="text1" w:themeTint="F2"/>
        </w:rPr>
        <w:t>ë</w:t>
      </w:r>
      <w:r w:rsidRPr="0050721B">
        <w:rPr>
          <w:b/>
          <w:color w:val="0D0D0D" w:themeColor="text1" w:themeTint="F2"/>
        </w:rPr>
        <w:t>r vitin 2025 jan</w:t>
      </w:r>
      <w:r w:rsidR="00E1291B" w:rsidRPr="0050721B">
        <w:rPr>
          <w:b/>
          <w:color w:val="0D0D0D" w:themeColor="text1" w:themeTint="F2"/>
        </w:rPr>
        <w:t>ë</w:t>
      </w:r>
      <w:r w:rsidR="00875364" w:rsidRPr="0050721B">
        <w:rPr>
          <w:b/>
          <w:color w:val="0D0D0D" w:themeColor="text1" w:themeTint="F2"/>
        </w:rPr>
        <w:t xml:space="preserve">: </w:t>
      </w:r>
    </w:p>
    <w:p w:rsidR="00E1291B" w:rsidRPr="00E76D5D" w:rsidRDefault="00E1291B" w:rsidP="0050721B">
      <w:pPr>
        <w:spacing w:line="276" w:lineRule="auto"/>
        <w:jc w:val="both"/>
        <w:rPr>
          <w:b/>
          <w:color w:val="0D0D0D" w:themeColor="text1" w:themeTint="F2"/>
          <w:sz w:val="12"/>
        </w:rPr>
      </w:pPr>
      <w:r w:rsidRPr="0050721B">
        <w:rPr>
          <w:b/>
          <w:color w:val="0D0D0D" w:themeColor="text1" w:themeTint="F2"/>
        </w:rPr>
        <w:t xml:space="preserve"> </w:t>
      </w:r>
    </w:p>
    <w:p w:rsidR="00235F36" w:rsidRPr="0050721B" w:rsidRDefault="00235F36" w:rsidP="0050721B">
      <w:pPr>
        <w:pStyle w:val="ListParagraph"/>
        <w:numPr>
          <w:ilvl w:val="0"/>
          <w:numId w:val="27"/>
        </w:numPr>
        <w:ind w:left="284"/>
        <w:jc w:val="both"/>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 xml:space="preserve">përmbushja e angazhimeve në kuadër të procesit të integrimit në Bashkimin Evropian nëpërmjet realizimit të objektivave që Zyra e Komisionerit ka në dokumente strategjikë kombëtare dhe ndërkombëtare; </w:t>
      </w:r>
    </w:p>
    <w:p w:rsidR="00235F36" w:rsidRPr="0050721B" w:rsidRDefault="00235F36" w:rsidP="0050721B">
      <w:pPr>
        <w:pStyle w:val="ListParagraph"/>
        <w:numPr>
          <w:ilvl w:val="0"/>
          <w:numId w:val="27"/>
        </w:numPr>
        <w:ind w:left="284"/>
        <w:jc w:val="both"/>
        <w:rPr>
          <w:rFonts w:ascii="Times New Roman" w:hAnsi="Times New Roman"/>
          <w:i/>
          <w:sz w:val="24"/>
          <w:szCs w:val="24"/>
        </w:rPr>
      </w:pPr>
      <w:r w:rsidRPr="0050721B">
        <w:rPr>
          <w:rFonts w:ascii="Times New Roman" w:hAnsi="Times New Roman"/>
          <w:color w:val="0D0D0D" w:themeColor="text1" w:themeTint="F2"/>
          <w:sz w:val="24"/>
          <w:szCs w:val="24"/>
        </w:rPr>
        <w:t>garantimi i zbatimit të ligjit nr.124</w:t>
      </w:r>
      <w:r w:rsidRPr="0050721B">
        <w:rPr>
          <w:rFonts w:ascii="Times New Roman" w:eastAsia="Times New Roman" w:hAnsi="Times New Roman"/>
          <w:color w:val="0D0D0D" w:themeColor="text1" w:themeTint="F2"/>
          <w:sz w:val="24"/>
          <w:szCs w:val="24"/>
          <w:lang w:eastAsia="sq-AL"/>
        </w:rPr>
        <w:t xml:space="preserve">/2024 </w:t>
      </w:r>
      <w:r w:rsidRPr="0050721B">
        <w:rPr>
          <w:rFonts w:ascii="Times New Roman" w:eastAsia="Times New Roman" w:hAnsi="Times New Roman"/>
          <w:i/>
          <w:color w:val="0D0D0D" w:themeColor="text1" w:themeTint="F2"/>
          <w:sz w:val="24"/>
          <w:szCs w:val="24"/>
          <w:lang w:eastAsia="sq-AL"/>
        </w:rPr>
        <w:t>“Për mbrojtjen e të dhënave personale”</w:t>
      </w:r>
      <w:r w:rsidRPr="0050721B">
        <w:rPr>
          <w:rFonts w:ascii="Times New Roman" w:eastAsia="Times New Roman" w:hAnsi="Times New Roman"/>
          <w:color w:val="0D0D0D" w:themeColor="text1" w:themeTint="F2"/>
          <w:sz w:val="24"/>
          <w:szCs w:val="24"/>
          <w:lang w:eastAsia="sq-AL"/>
        </w:rPr>
        <w:t xml:space="preserve"> </w:t>
      </w:r>
      <w:r w:rsidR="00363931">
        <w:rPr>
          <w:rFonts w:ascii="Times New Roman" w:eastAsia="Times New Roman" w:hAnsi="Times New Roman"/>
          <w:color w:val="0D0D0D" w:themeColor="text1" w:themeTint="F2"/>
          <w:sz w:val="24"/>
          <w:szCs w:val="24"/>
          <w:lang w:eastAsia="sq-AL"/>
        </w:rPr>
        <w:t xml:space="preserve">                      </w:t>
      </w:r>
      <w:r w:rsidRPr="0050721B">
        <w:rPr>
          <w:rFonts w:ascii="Times New Roman" w:eastAsia="Times New Roman" w:hAnsi="Times New Roman"/>
          <w:color w:val="0D0D0D" w:themeColor="text1" w:themeTint="F2"/>
          <w:sz w:val="24"/>
          <w:szCs w:val="24"/>
          <w:lang w:eastAsia="sq-AL"/>
        </w:rPr>
        <w:t xml:space="preserve">(në vijim </w:t>
      </w:r>
      <w:r w:rsidRPr="0050721B">
        <w:rPr>
          <w:rFonts w:ascii="Times New Roman" w:eastAsia="Times New Roman" w:hAnsi="Times New Roman"/>
          <w:i/>
          <w:color w:val="0D0D0D" w:themeColor="text1" w:themeTint="F2"/>
          <w:sz w:val="24"/>
          <w:szCs w:val="24"/>
          <w:lang w:eastAsia="sq-AL"/>
        </w:rPr>
        <w:t>“ligji nr.124/2024”</w:t>
      </w:r>
      <w:r w:rsidRPr="0050721B">
        <w:rPr>
          <w:rFonts w:ascii="Times New Roman" w:eastAsia="Times New Roman" w:hAnsi="Times New Roman"/>
          <w:color w:val="0D0D0D" w:themeColor="text1" w:themeTint="F2"/>
          <w:sz w:val="24"/>
          <w:szCs w:val="24"/>
          <w:lang w:eastAsia="sq-AL"/>
        </w:rPr>
        <w:t xml:space="preserve">) i cili përafron plotësisht Rregulloren e Përgjithshme Evropiane për Mbrojtjen e të Dhënave (GDPR) dhe Direktivën për përpunimin e të dhënave personale nga organet ligjzbatuese (Direktiva e Policisë). </w:t>
      </w:r>
    </w:p>
    <w:p w:rsidR="00235F36" w:rsidRPr="0050721B" w:rsidRDefault="00235F36" w:rsidP="0050721B">
      <w:pPr>
        <w:pStyle w:val="ListParagraph"/>
        <w:numPr>
          <w:ilvl w:val="0"/>
          <w:numId w:val="27"/>
        </w:numPr>
        <w:ind w:left="284"/>
        <w:jc w:val="both"/>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zhvillimi i fushatave ndërgjegjësuese për zbatimin e ligjit nr.124/2024 me qëllim njohjen e qytetarëve si dhe kontrolluesit publik/privat me të drejtat dhe detyrimet e reja që burojnë nga ky ligj;</w:t>
      </w:r>
    </w:p>
    <w:p w:rsidR="00235F36" w:rsidRPr="0050721B" w:rsidRDefault="00235F36" w:rsidP="0050721B">
      <w:pPr>
        <w:pStyle w:val="ListParagraph"/>
        <w:numPr>
          <w:ilvl w:val="0"/>
          <w:numId w:val="27"/>
        </w:numPr>
        <w:ind w:left="284"/>
        <w:jc w:val="both"/>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hartimi i akteve nënligjore në zbatim të ligjit nr.124/2024;</w:t>
      </w:r>
    </w:p>
    <w:p w:rsidR="00235F36" w:rsidRPr="0050721B" w:rsidRDefault="00235F36" w:rsidP="0050721B">
      <w:pPr>
        <w:pStyle w:val="ListParagraph"/>
        <w:numPr>
          <w:ilvl w:val="0"/>
          <w:numId w:val="27"/>
        </w:numPr>
        <w:ind w:left="284"/>
        <w:jc w:val="both"/>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 xml:space="preserve">forcimi i kapaciteteve profesionale të stafit të Zyrës së Komisionerit si domosdoshmëri e modernizimit të kuadrit ligjor mbi të cilin ushtron veprimtarinë e saj me </w:t>
      </w:r>
      <w:r w:rsidRPr="0050721B">
        <w:rPr>
          <w:rFonts w:ascii="Times New Roman" w:hAnsi="Times New Roman"/>
          <w:i/>
          <w:color w:val="0D0D0D" w:themeColor="text1" w:themeTint="F2"/>
          <w:sz w:val="24"/>
          <w:szCs w:val="24"/>
        </w:rPr>
        <w:t>acquis</w:t>
      </w:r>
      <w:r w:rsidRPr="0050721B">
        <w:rPr>
          <w:rFonts w:ascii="Times New Roman" w:hAnsi="Times New Roman"/>
          <w:color w:val="0D0D0D" w:themeColor="text1" w:themeTint="F2"/>
          <w:sz w:val="24"/>
          <w:szCs w:val="24"/>
        </w:rPr>
        <w:t xml:space="preserve"> të BE dhe akte të tjera ndërkombëtare si: </w:t>
      </w:r>
    </w:p>
    <w:p w:rsidR="00235F36" w:rsidRPr="0050721B" w:rsidRDefault="00235F36" w:rsidP="0050721B">
      <w:pPr>
        <w:pStyle w:val="ListParagraph"/>
        <w:numPr>
          <w:ilvl w:val="0"/>
          <w:numId w:val="26"/>
        </w:numPr>
        <w:ind w:left="1134"/>
        <w:jc w:val="both"/>
        <w:rPr>
          <w:rFonts w:ascii="Times New Roman" w:hAnsi="Times New Roman"/>
          <w:i/>
          <w:color w:val="0D0D0D" w:themeColor="text1" w:themeTint="F2"/>
          <w:sz w:val="24"/>
          <w:szCs w:val="24"/>
        </w:rPr>
      </w:pPr>
      <w:r w:rsidRPr="0050721B">
        <w:rPr>
          <w:rFonts w:ascii="Times New Roman" w:hAnsi="Times New Roman"/>
          <w:i/>
          <w:color w:val="0D0D0D" w:themeColor="text1" w:themeTint="F2"/>
          <w:sz w:val="24"/>
          <w:szCs w:val="24"/>
        </w:rPr>
        <w:t>ligji nr. 45/2022 “Për ratifikimin e Konventës së Këshillit të Evropës “Për aksesin në dokumente zyrtare””;</w:t>
      </w:r>
    </w:p>
    <w:p w:rsidR="00235F36" w:rsidRPr="0050721B" w:rsidRDefault="00235F36" w:rsidP="0050721B">
      <w:pPr>
        <w:pStyle w:val="ListParagraph"/>
        <w:numPr>
          <w:ilvl w:val="0"/>
          <w:numId w:val="26"/>
        </w:numPr>
        <w:ind w:left="1134"/>
        <w:jc w:val="both"/>
        <w:rPr>
          <w:rFonts w:ascii="Times New Roman" w:hAnsi="Times New Roman"/>
          <w:i/>
          <w:color w:val="0D0D0D" w:themeColor="text1" w:themeTint="F2"/>
          <w:sz w:val="24"/>
          <w:szCs w:val="24"/>
        </w:rPr>
      </w:pPr>
      <w:r w:rsidRPr="0050721B">
        <w:rPr>
          <w:rFonts w:ascii="Times New Roman" w:hAnsi="Times New Roman"/>
          <w:i/>
          <w:color w:val="0D0D0D" w:themeColor="text1" w:themeTint="F2"/>
          <w:sz w:val="24"/>
          <w:szCs w:val="24"/>
        </w:rPr>
        <w:t>ligji nr. 49/2022 “Për ratifikimin e protokollit ndryshues të Konventës “Për mbrojtjen e individëve në lidhje me përpunimin automatik të të dhënave personale”;</w:t>
      </w:r>
    </w:p>
    <w:p w:rsidR="00235F36" w:rsidRPr="0050721B" w:rsidRDefault="00235F36" w:rsidP="0050721B">
      <w:pPr>
        <w:pStyle w:val="ListParagraph"/>
        <w:numPr>
          <w:ilvl w:val="0"/>
          <w:numId w:val="26"/>
        </w:numPr>
        <w:ind w:left="1134"/>
        <w:jc w:val="both"/>
        <w:rPr>
          <w:rFonts w:ascii="Times New Roman" w:hAnsi="Times New Roman"/>
          <w:i/>
          <w:color w:val="0D0D0D" w:themeColor="text1" w:themeTint="F2"/>
          <w:sz w:val="24"/>
          <w:szCs w:val="24"/>
        </w:rPr>
      </w:pPr>
      <w:r w:rsidRPr="0050721B">
        <w:rPr>
          <w:rFonts w:ascii="Times New Roman" w:hAnsi="Times New Roman"/>
          <w:i/>
          <w:color w:val="0D0D0D" w:themeColor="text1" w:themeTint="F2"/>
          <w:sz w:val="24"/>
          <w:szCs w:val="24"/>
        </w:rPr>
        <w:t>ligji nr. 119/2014 “Për të drejtën e informimit”, i ndryshuar me ligjin nr.78, datë 21.09.2023;</w:t>
      </w:r>
    </w:p>
    <w:p w:rsidR="00235F36" w:rsidRPr="0050721B" w:rsidRDefault="00235F36" w:rsidP="0050721B">
      <w:pPr>
        <w:pStyle w:val="ListParagraph"/>
        <w:numPr>
          <w:ilvl w:val="0"/>
          <w:numId w:val="26"/>
        </w:numPr>
        <w:ind w:left="1134"/>
        <w:jc w:val="both"/>
        <w:rPr>
          <w:rFonts w:ascii="Times New Roman" w:hAnsi="Times New Roman"/>
          <w:i/>
          <w:color w:val="0D0D0D" w:themeColor="text1" w:themeTint="F2"/>
          <w:sz w:val="24"/>
          <w:szCs w:val="24"/>
        </w:rPr>
      </w:pPr>
      <w:r w:rsidRPr="0050721B">
        <w:rPr>
          <w:rFonts w:ascii="Times New Roman" w:hAnsi="Times New Roman"/>
          <w:i/>
          <w:color w:val="0D0D0D" w:themeColor="text1" w:themeTint="F2"/>
          <w:sz w:val="24"/>
          <w:szCs w:val="24"/>
        </w:rPr>
        <w:t>ligji nr. 33/2022 “Për të dhënat e hapura dhe ripërdorimin e informacionit të sektorit publik”;</w:t>
      </w:r>
    </w:p>
    <w:p w:rsidR="00235F36" w:rsidRPr="0050721B" w:rsidRDefault="00235F36" w:rsidP="0050721B">
      <w:pPr>
        <w:pStyle w:val="ListParagraph"/>
        <w:numPr>
          <w:ilvl w:val="0"/>
          <w:numId w:val="26"/>
        </w:numPr>
        <w:ind w:left="1134"/>
        <w:jc w:val="both"/>
        <w:rPr>
          <w:rFonts w:ascii="Times New Roman" w:hAnsi="Times New Roman"/>
          <w:i/>
          <w:color w:val="0D0D0D" w:themeColor="text1" w:themeTint="F2"/>
          <w:sz w:val="24"/>
          <w:szCs w:val="24"/>
        </w:rPr>
      </w:pPr>
      <w:r w:rsidRPr="0050721B">
        <w:rPr>
          <w:rFonts w:ascii="Times New Roman" w:hAnsi="Times New Roman"/>
          <w:i/>
          <w:color w:val="0D0D0D" w:themeColor="text1" w:themeTint="F2"/>
          <w:sz w:val="24"/>
          <w:szCs w:val="24"/>
        </w:rPr>
        <w:t>ligji nr. 124/2024 “Për mbrojtjen e të dhënave personale”</w:t>
      </w:r>
    </w:p>
    <w:p w:rsidR="00235F36" w:rsidRPr="0050721B" w:rsidRDefault="00235F36" w:rsidP="0050721B">
      <w:pPr>
        <w:pStyle w:val="ListParagraph"/>
        <w:numPr>
          <w:ilvl w:val="0"/>
          <w:numId w:val="28"/>
        </w:numPr>
        <w:ind w:left="284"/>
        <w:jc w:val="both"/>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 xml:space="preserve">miratimi i projektligjit </w:t>
      </w:r>
      <w:r w:rsidRPr="0050721B">
        <w:rPr>
          <w:rFonts w:ascii="Times New Roman" w:hAnsi="Times New Roman"/>
          <w:i/>
          <w:color w:val="0D0D0D" w:themeColor="text1" w:themeTint="F2"/>
          <w:sz w:val="24"/>
          <w:szCs w:val="24"/>
        </w:rPr>
        <w:t>“Për krijimin e regjistrit të thirrjeve të pakërkuara”;</w:t>
      </w:r>
    </w:p>
    <w:p w:rsidR="00235F36" w:rsidRPr="0050721B" w:rsidRDefault="00235F36" w:rsidP="0050721B">
      <w:pPr>
        <w:pStyle w:val="ListParagraph"/>
        <w:numPr>
          <w:ilvl w:val="0"/>
          <w:numId w:val="28"/>
        </w:numPr>
        <w:ind w:left="284"/>
        <w:jc w:val="both"/>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komunikimi proaktiv me autoritetet publike për konsolidimin e kulturës së transparencës, forcimi i rolit dhe kapaciteteve të koordinatorit të të drejtës për informim dhe trajnimi periodik i koordinatorëve për të drejtën e informimit veçanërisht për trajtimin e çështjeve me interes publik në balancë me kufizimet për dhënien e informacionit;</w:t>
      </w:r>
    </w:p>
    <w:p w:rsidR="00235F36" w:rsidRPr="0050721B" w:rsidRDefault="00235F36" w:rsidP="0050721B">
      <w:pPr>
        <w:pStyle w:val="ListParagraph"/>
        <w:numPr>
          <w:ilvl w:val="0"/>
          <w:numId w:val="28"/>
        </w:numPr>
        <w:ind w:left="284"/>
        <w:jc w:val="both"/>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thellimi i mbikëqyrjes dhe monitorimi i zbatimit të ligjit për të drejtën e informimit, të ndryshuar, duke patur si qëllim rritjen e kontrollit mbi veprimtarinë e administratës publike si dhe garantimin e aksesit në informacion publik;</w:t>
      </w:r>
    </w:p>
    <w:p w:rsidR="00235F36" w:rsidRPr="0050721B" w:rsidRDefault="00235F36" w:rsidP="0050721B">
      <w:pPr>
        <w:pStyle w:val="ListParagraph"/>
        <w:numPr>
          <w:ilvl w:val="0"/>
          <w:numId w:val="28"/>
        </w:numPr>
        <w:ind w:left="284"/>
        <w:jc w:val="both"/>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verifikimi dhe mbikëqyrja e transparencës proaktive</w:t>
      </w:r>
      <w:r w:rsidR="00363931">
        <w:rPr>
          <w:rFonts w:ascii="Times New Roman" w:hAnsi="Times New Roman"/>
          <w:color w:val="0D0D0D" w:themeColor="text1" w:themeTint="F2"/>
          <w:sz w:val="24"/>
          <w:szCs w:val="24"/>
        </w:rPr>
        <w:t xml:space="preserve"> të autoriteteve publike, mbi </w:t>
      </w:r>
      <w:r w:rsidRPr="0050721B">
        <w:rPr>
          <w:rFonts w:ascii="Times New Roman" w:hAnsi="Times New Roman"/>
          <w:color w:val="0D0D0D" w:themeColor="text1" w:themeTint="F2"/>
          <w:sz w:val="24"/>
          <w:szCs w:val="24"/>
        </w:rPr>
        <w:t>zbatimin dhe përditësimin e Programit të Transparencës dhe Regjistrit të Kërkesave dhe Përgjigjeve;</w:t>
      </w:r>
    </w:p>
    <w:p w:rsidR="00235F36" w:rsidRPr="0050721B" w:rsidRDefault="00235F36" w:rsidP="0050721B">
      <w:pPr>
        <w:pStyle w:val="ListParagraph"/>
        <w:numPr>
          <w:ilvl w:val="0"/>
          <w:numId w:val="28"/>
        </w:numPr>
        <w:ind w:left="284"/>
        <w:jc w:val="both"/>
        <w:rPr>
          <w:rFonts w:ascii="Times New Roman" w:hAnsi="Times New Roman"/>
          <w:i/>
          <w:color w:val="0D0D0D" w:themeColor="text1" w:themeTint="F2"/>
          <w:sz w:val="24"/>
          <w:szCs w:val="24"/>
        </w:rPr>
      </w:pPr>
      <w:r w:rsidRPr="0050721B">
        <w:rPr>
          <w:rFonts w:ascii="Times New Roman" w:hAnsi="Times New Roman"/>
          <w:color w:val="0D0D0D" w:themeColor="text1" w:themeTint="F2"/>
          <w:sz w:val="24"/>
          <w:szCs w:val="24"/>
        </w:rPr>
        <w:t xml:space="preserve">aktivitete ndërgjegjësuese/njohëse në zbatim të ligjit nr. 119/2014 </w:t>
      </w:r>
      <w:r w:rsidRPr="0050721B">
        <w:rPr>
          <w:rFonts w:ascii="Times New Roman" w:hAnsi="Times New Roman"/>
          <w:i/>
          <w:color w:val="0D0D0D" w:themeColor="text1" w:themeTint="F2"/>
          <w:sz w:val="24"/>
          <w:szCs w:val="24"/>
        </w:rPr>
        <w:t>“Për të drejtën e informimit”</w:t>
      </w:r>
      <w:r w:rsidRPr="0050721B">
        <w:rPr>
          <w:rFonts w:ascii="Times New Roman" w:hAnsi="Times New Roman"/>
          <w:color w:val="0D0D0D" w:themeColor="text1" w:themeTint="F2"/>
          <w:sz w:val="24"/>
          <w:szCs w:val="24"/>
        </w:rPr>
        <w:t>, i ndryshuar (në vijim “</w:t>
      </w:r>
      <w:r w:rsidRPr="0050721B">
        <w:rPr>
          <w:rFonts w:ascii="Times New Roman" w:hAnsi="Times New Roman"/>
          <w:i/>
          <w:color w:val="0D0D0D" w:themeColor="text1" w:themeTint="F2"/>
          <w:sz w:val="24"/>
          <w:szCs w:val="24"/>
        </w:rPr>
        <w:t>LDI</w:t>
      </w:r>
      <w:r w:rsidRPr="0050721B">
        <w:rPr>
          <w:rFonts w:ascii="Times New Roman" w:hAnsi="Times New Roman"/>
          <w:color w:val="0D0D0D" w:themeColor="text1" w:themeTint="F2"/>
          <w:sz w:val="24"/>
          <w:szCs w:val="24"/>
        </w:rPr>
        <w:t xml:space="preserve">”) dhe ligjit nr. 33/2022 </w:t>
      </w:r>
      <w:r w:rsidRPr="0050721B">
        <w:rPr>
          <w:rFonts w:ascii="Times New Roman" w:hAnsi="Times New Roman"/>
          <w:i/>
          <w:color w:val="0D0D0D" w:themeColor="text1" w:themeTint="F2"/>
          <w:sz w:val="24"/>
          <w:szCs w:val="24"/>
        </w:rPr>
        <w:t>“Për të dhënat e hapura dhe ripërdormin e informacionit të sektorit publik”</w:t>
      </w:r>
      <w:r w:rsidRPr="0050721B">
        <w:rPr>
          <w:rFonts w:ascii="Times New Roman" w:hAnsi="Times New Roman"/>
          <w:color w:val="0D0D0D" w:themeColor="text1" w:themeTint="F2"/>
          <w:sz w:val="24"/>
          <w:szCs w:val="24"/>
        </w:rPr>
        <w:t xml:space="preserve"> (në vijim “</w:t>
      </w:r>
      <w:r w:rsidRPr="0050721B">
        <w:rPr>
          <w:rFonts w:ascii="Times New Roman" w:hAnsi="Times New Roman"/>
          <w:i/>
          <w:color w:val="0D0D0D" w:themeColor="text1" w:themeTint="F2"/>
          <w:sz w:val="24"/>
          <w:szCs w:val="24"/>
        </w:rPr>
        <w:t>ligji nr.33/2022</w:t>
      </w:r>
      <w:r w:rsidRPr="0050721B">
        <w:rPr>
          <w:rFonts w:ascii="Times New Roman" w:hAnsi="Times New Roman"/>
          <w:color w:val="0D0D0D" w:themeColor="text1" w:themeTint="F2"/>
          <w:sz w:val="24"/>
          <w:szCs w:val="24"/>
        </w:rPr>
        <w:t>”)</w:t>
      </w:r>
    </w:p>
    <w:p w:rsidR="00235F36" w:rsidRPr="0050721B" w:rsidRDefault="00235F36" w:rsidP="0050721B">
      <w:pPr>
        <w:pStyle w:val="ListParagraph"/>
        <w:numPr>
          <w:ilvl w:val="0"/>
          <w:numId w:val="28"/>
        </w:numPr>
        <w:ind w:left="284"/>
        <w:jc w:val="both"/>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komunikimi proaktiv me kontrolluesit publikë/privatë për konsolidimin e kulturës mbi qasjen e re të tyre përsa i përket garantimit efektiv të sigurisë së informacionit (SMSI) në proceset përpunuese;</w:t>
      </w:r>
    </w:p>
    <w:p w:rsidR="00235F36" w:rsidRPr="0050721B" w:rsidRDefault="00235F36" w:rsidP="0050721B">
      <w:pPr>
        <w:pStyle w:val="ListParagraph"/>
        <w:numPr>
          <w:ilvl w:val="0"/>
          <w:numId w:val="28"/>
        </w:numPr>
        <w:ind w:left="284"/>
        <w:jc w:val="both"/>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lastRenderedPageBreak/>
        <w:t>zgjerimi i rrjetit të nëpunësve për mbrojtjen e të dhënave personale dhe forcimi i kapaciteteve profesionale për përmbushjen e detyrimeve ligjore;</w:t>
      </w:r>
    </w:p>
    <w:p w:rsidR="00235F36" w:rsidRPr="0050721B" w:rsidRDefault="00235F36" w:rsidP="0050721B">
      <w:pPr>
        <w:pStyle w:val="ListParagraph"/>
        <w:numPr>
          <w:ilvl w:val="0"/>
          <w:numId w:val="28"/>
        </w:numPr>
        <w:ind w:left="284"/>
        <w:jc w:val="both"/>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 xml:space="preserve">aplikimin për përfitimin e projekteve nga programe të asistencës nga fondet IPA të BE dhe/ose donatorë të tjerë, në funksion të rritjes së kapaciteteve profesionale dhe për ndërgjegjësimin e grupeve të interesit. </w:t>
      </w:r>
    </w:p>
    <w:p w:rsidR="00235F36" w:rsidRPr="0050721B" w:rsidRDefault="00235F36" w:rsidP="0050721B">
      <w:pPr>
        <w:pStyle w:val="ListParagraph"/>
        <w:numPr>
          <w:ilvl w:val="0"/>
          <w:numId w:val="28"/>
        </w:numPr>
        <w:ind w:left="284"/>
        <w:jc w:val="both"/>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 xml:space="preserve">roli aktiv në kuadër të organizmave ndërkombëtare ku Zyra e Komisionerit është anëtare, si dhe me autoritetet homologe në të dy fushat e përgjegjësisë; </w:t>
      </w:r>
    </w:p>
    <w:p w:rsidR="00875364" w:rsidRPr="0050721B" w:rsidRDefault="00E1291B" w:rsidP="0050721B">
      <w:pPr>
        <w:autoSpaceDE w:val="0"/>
        <w:autoSpaceDN w:val="0"/>
        <w:adjustRightInd w:val="0"/>
        <w:spacing w:line="276" w:lineRule="auto"/>
        <w:jc w:val="both"/>
        <w:rPr>
          <w:rFonts w:eastAsiaTheme="minorHAnsi"/>
          <w:lang w:val="en-US" w:eastAsia="en-US"/>
        </w:rPr>
      </w:pPr>
      <w:proofErr w:type="spellStart"/>
      <w:r w:rsidRPr="0050721B">
        <w:rPr>
          <w:rFonts w:eastAsiaTheme="minorHAnsi"/>
          <w:b/>
          <w:lang w:val="en-US" w:eastAsia="en-US"/>
        </w:rPr>
        <w:t>Treguesit</w:t>
      </w:r>
      <w:proofErr w:type="spellEnd"/>
      <w:r w:rsidRPr="0050721B">
        <w:rPr>
          <w:rFonts w:eastAsiaTheme="minorHAnsi"/>
          <w:b/>
          <w:lang w:val="en-US" w:eastAsia="en-US"/>
        </w:rPr>
        <w:t xml:space="preserve"> e </w:t>
      </w:r>
      <w:r w:rsidR="00B41105">
        <w:rPr>
          <w:rFonts w:eastAsiaTheme="minorHAnsi"/>
          <w:b/>
          <w:lang w:val="en-US" w:eastAsia="en-US"/>
        </w:rPr>
        <w:t>performances</w:t>
      </w:r>
      <w:r w:rsidR="00E16DF6" w:rsidRPr="0050721B">
        <w:rPr>
          <w:rFonts w:eastAsiaTheme="minorHAnsi"/>
          <w:lang w:val="en-US" w:eastAsia="en-US"/>
        </w:rPr>
        <w:t xml:space="preserve">, </w:t>
      </w:r>
      <w:proofErr w:type="spellStart"/>
      <w:r w:rsidRPr="0050721B">
        <w:rPr>
          <w:rFonts w:eastAsiaTheme="minorHAnsi"/>
          <w:lang w:val="en-US" w:eastAsia="en-US"/>
        </w:rPr>
        <w:t>jan</w:t>
      </w:r>
      <w:r w:rsidR="00875364" w:rsidRPr="0050721B">
        <w:rPr>
          <w:rFonts w:eastAsiaTheme="minorHAnsi"/>
          <w:lang w:val="en-US" w:eastAsia="en-US"/>
        </w:rPr>
        <w:t>ë</w:t>
      </w:r>
      <w:proofErr w:type="spellEnd"/>
      <w:r w:rsidR="00875364" w:rsidRPr="0050721B">
        <w:rPr>
          <w:rFonts w:eastAsiaTheme="minorHAnsi"/>
          <w:lang w:val="en-US" w:eastAsia="en-US"/>
        </w:rPr>
        <w:t xml:space="preserve"> </w:t>
      </w:r>
      <w:proofErr w:type="spellStart"/>
      <w:r w:rsidRPr="0050721B">
        <w:rPr>
          <w:rFonts w:eastAsiaTheme="minorHAnsi"/>
          <w:lang w:val="en-US" w:eastAsia="en-US"/>
        </w:rPr>
        <w:t>mat</w:t>
      </w:r>
      <w:r w:rsidR="00875364" w:rsidRPr="0050721B">
        <w:rPr>
          <w:rFonts w:eastAsiaTheme="minorHAnsi"/>
          <w:lang w:val="en-US" w:eastAsia="en-US"/>
        </w:rPr>
        <w:t>ë</w:t>
      </w:r>
      <w:r w:rsidRPr="0050721B">
        <w:rPr>
          <w:rFonts w:eastAsiaTheme="minorHAnsi"/>
          <w:lang w:val="en-US" w:eastAsia="en-US"/>
        </w:rPr>
        <w:t>sit</w:t>
      </w:r>
      <w:proofErr w:type="spellEnd"/>
      <w:r w:rsidRPr="0050721B">
        <w:rPr>
          <w:rFonts w:eastAsiaTheme="minorHAnsi"/>
          <w:lang w:val="en-US" w:eastAsia="en-US"/>
        </w:rPr>
        <w:t xml:space="preserve"> </w:t>
      </w:r>
      <w:proofErr w:type="spellStart"/>
      <w:r w:rsidRPr="0050721B">
        <w:rPr>
          <w:rFonts w:eastAsiaTheme="minorHAnsi"/>
          <w:lang w:val="en-US" w:eastAsia="en-US"/>
        </w:rPr>
        <w:t>q</w:t>
      </w:r>
      <w:r w:rsidR="00875364" w:rsidRPr="0050721B">
        <w:rPr>
          <w:rFonts w:eastAsiaTheme="minorHAnsi"/>
          <w:lang w:val="en-US" w:eastAsia="en-US"/>
        </w:rPr>
        <w:t>ë</w:t>
      </w:r>
      <w:proofErr w:type="spellEnd"/>
      <w:r w:rsidRPr="0050721B">
        <w:rPr>
          <w:rFonts w:eastAsiaTheme="minorHAnsi"/>
          <w:lang w:val="en-US" w:eastAsia="en-US"/>
        </w:rPr>
        <w:t xml:space="preserve"> </w:t>
      </w:r>
      <w:proofErr w:type="spellStart"/>
      <w:r w:rsidRPr="0050721B">
        <w:rPr>
          <w:rFonts w:eastAsiaTheme="minorHAnsi"/>
          <w:lang w:val="en-US" w:eastAsia="en-US"/>
        </w:rPr>
        <w:t>p</w:t>
      </w:r>
      <w:r w:rsidR="00875364" w:rsidRPr="0050721B">
        <w:rPr>
          <w:rFonts w:eastAsiaTheme="minorHAnsi"/>
          <w:lang w:val="en-US" w:eastAsia="en-US"/>
        </w:rPr>
        <w:t>ë</w:t>
      </w:r>
      <w:r w:rsidRPr="0050721B">
        <w:rPr>
          <w:rFonts w:eastAsiaTheme="minorHAnsi"/>
          <w:lang w:val="en-US" w:eastAsia="en-US"/>
        </w:rPr>
        <w:t>rdoren</w:t>
      </w:r>
      <w:proofErr w:type="spellEnd"/>
      <w:r w:rsidRPr="0050721B">
        <w:rPr>
          <w:rFonts w:eastAsiaTheme="minorHAnsi"/>
          <w:lang w:val="en-US" w:eastAsia="en-US"/>
        </w:rPr>
        <w:t xml:space="preserve"> p</w:t>
      </w:r>
      <w:r w:rsidR="00875364" w:rsidRPr="0050721B">
        <w:rPr>
          <w:rFonts w:eastAsiaTheme="minorHAnsi"/>
          <w:lang w:val="en-US" w:eastAsia="en-US"/>
        </w:rPr>
        <w:t>ë</w:t>
      </w:r>
      <w:r w:rsidRPr="0050721B">
        <w:rPr>
          <w:rFonts w:eastAsiaTheme="minorHAnsi"/>
          <w:lang w:val="en-US" w:eastAsia="en-US"/>
        </w:rPr>
        <w:t>r t</w:t>
      </w:r>
      <w:r w:rsidR="00875364" w:rsidRPr="0050721B">
        <w:rPr>
          <w:rFonts w:eastAsiaTheme="minorHAnsi"/>
          <w:lang w:val="en-US" w:eastAsia="en-US"/>
        </w:rPr>
        <w:t>ë</w:t>
      </w:r>
      <w:r w:rsidRPr="0050721B">
        <w:rPr>
          <w:rFonts w:eastAsiaTheme="minorHAnsi"/>
          <w:lang w:val="en-US" w:eastAsia="en-US"/>
        </w:rPr>
        <w:t xml:space="preserve"> vler</w:t>
      </w:r>
      <w:r w:rsidR="00875364" w:rsidRPr="0050721B">
        <w:rPr>
          <w:rFonts w:eastAsiaTheme="minorHAnsi"/>
          <w:lang w:val="en-US" w:eastAsia="en-US"/>
        </w:rPr>
        <w:t>ë</w:t>
      </w:r>
      <w:r w:rsidRPr="0050721B">
        <w:rPr>
          <w:rFonts w:eastAsiaTheme="minorHAnsi"/>
          <w:lang w:val="en-US" w:eastAsia="en-US"/>
        </w:rPr>
        <w:t>suar ecurin</w:t>
      </w:r>
      <w:r w:rsidR="00875364" w:rsidRPr="0050721B">
        <w:rPr>
          <w:rFonts w:eastAsiaTheme="minorHAnsi"/>
          <w:lang w:val="en-US" w:eastAsia="en-US"/>
        </w:rPr>
        <w:t>ë</w:t>
      </w:r>
      <w:r w:rsidRPr="0050721B">
        <w:rPr>
          <w:rFonts w:eastAsiaTheme="minorHAnsi"/>
          <w:lang w:val="en-US" w:eastAsia="en-US"/>
        </w:rPr>
        <w:t xml:space="preserve"> e institucionit n</w:t>
      </w:r>
      <w:r w:rsidR="00875364" w:rsidRPr="0050721B">
        <w:rPr>
          <w:rFonts w:eastAsiaTheme="minorHAnsi"/>
          <w:lang w:val="en-US" w:eastAsia="en-US"/>
        </w:rPr>
        <w:t xml:space="preserve">ë </w:t>
      </w:r>
      <w:r w:rsidRPr="0050721B">
        <w:rPr>
          <w:rFonts w:eastAsiaTheme="minorHAnsi"/>
          <w:lang w:val="en-US" w:eastAsia="en-US"/>
        </w:rPr>
        <w:t>raport me objektivat strateg</w:t>
      </w:r>
      <w:r w:rsidR="00875364" w:rsidRPr="0050721B">
        <w:rPr>
          <w:rFonts w:eastAsiaTheme="minorHAnsi"/>
          <w:lang w:val="en-US" w:eastAsia="en-US"/>
        </w:rPr>
        <w:t>j</w:t>
      </w:r>
      <w:r w:rsidRPr="0050721B">
        <w:rPr>
          <w:rFonts w:eastAsiaTheme="minorHAnsi"/>
          <w:lang w:val="en-US" w:eastAsia="en-US"/>
        </w:rPr>
        <w:t>ik</w:t>
      </w:r>
      <w:r w:rsidR="00875364" w:rsidRPr="0050721B">
        <w:rPr>
          <w:rFonts w:eastAsiaTheme="minorHAnsi"/>
          <w:lang w:val="en-US" w:eastAsia="en-US"/>
        </w:rPr>
        <w:t>ë</w:t>
      </w:r>
      <w:r w:rsidRPr="0050721B">
        <w:rPr>
          <w:rFonts w:eastAsiaTheme="minorHAnsi"/>
          <w:lang w:val="en-US" w:eastAsia="en-US"/>
        </w:rPr>
        <w:t xml:space="preserve"> dhe operacional</w:t>
      </w:r>
      <w:r w:rsidR="00875364" w:rsidRPr="0050721B">
        <w:rPr>
          <w:rFonts w:eastAsiaTheme="minorHAnsi"/>
          <w:lang w:val="en-US" w:eastAsia="en-US"/>
        </w:rPr>
        <w:t xml:space="preserve">ë. </w:t>
      </w:r>
      <w:proofErr w:type="spellStart"/>
      <w:r w:rsidR="00875364" w:rsidRPr="0050721B">
        <w:rPr>
          <w:rFonts w:eastAsiaTheme="minorHAnsi"/>
          <w:lang w:val="en-US" w:eastAsia="en-US"/>
        </w:rPr>
        <w:t>Në</w:t>
      </w:r>
      <w:proofErr w:type="spellEnd"/>
      <w:r w:rsidR="00875364" w:rsidRPr="0050721B">
        <w:rPr>
          <w:rFonts w:eastAsiaTheme="minorHAnsi"/>
          <w:lang w:val="en-US" w:eastAsia="en-US"/>
        </w:rPr>
        <w:t xml:space="preserve"> </w:t>
      </w:r>
      <w:proofErr w:type="spellStart"/>
      <w:r w:rsidR="00875364" w:rsidRPr="0050721B">
        <w:rPr>
          <w:rFonts w:eastAsiaTheme="minorHAnsi"/>
          <w:lang w:val="en-US" w:eastAsia="en-US"/>
        </w:rPr>
        <w:t>mënyrë</w:t>
      </w:r>
      <w:proofErr w:type="spellEnd"/>
      <w:r w:rsidR="00875364" w:rsidRPr="0050721B">
        <w:rPr>
          <w:rFonts w:eastAsiaTheme="minorHAnsi"/>
          <w:lang w:val="en-US" w:eastAsia="en-US"/>
        </w:rPr>
        <w:t xml:space="preserve"> të </w:t>
      </w:r>
      <w:proofErr w:type="spellStart"/>
      <w:r w:rsidR="00875364" w:rsidRPr="0050721B">
        <w:rPr>
          <w:rFonts w:eastAsiaTheme="minorHAnsi"/>
          <w:lang w:val="en-US" w:eastAsia="en-US"/>
        </w:rPr>
        <w:t>detajuar</w:t>
      </w:r>
      <w:proofErr w:type="spellEnd"/>
      <w:r w:rsidR="00875364" w:rsidRPr="0050721B">
        <w:rPr>
          <w:rFonts w:eastAsiaTheme="minorHAnsi"/>
          <w:lang w:val="en-US" w:eastAsia="en-US"/>
        </w:rPr>
        <w:t xml:space="preserve"> listohen si më poshtë: </w:t>
      </w:r>
    </w:p>
    <w:p w:rsidR="00A312BA" w:rsidRPr="00E76D5D" w:rsidRDefault="00A312BA" w:rsidP="0050721B">
      <w:pPr>
        <w:autoSpaceDE w:val="0"/>
        <w:autoSpaceDN w:val="0"/>
        <w:adjustRightInd w:val="0"/>
        <w:spacing w:line="276" w:lineRule="auto"/>
        <w:jc w:val="both"/>
        <w:rPr>
          <w:rFonts w:eastAsiaTheme="minorHAnsi"/>
          <w:sz w:val="12"/>
          <w:lang w:val="en-US" w:eastAsia="en-US"/>
        </w:rPr>
      </w:pPr>
    </w:p>
    <w:p w:rsidR="00A312BA" w:rsidRPr="0050721B" w:rsidRDefault="00363931" w:rsidP="0050721B">
      <w:pPr>
        <w:autoSpaceDE w:val="0"/>
        <w:autoSpaceDN w:val="0"/>
        <w:adjustRightInd w:val="0"/>
        <w:spacing w:line="276" w:lineRule="auto"/>
        <w:jc w:val="both"/>
        <w:rPr>
          <w:rFonts w:eastAsiaTheme="minorHAnsi"/>
          <w:i/>
          <w:lang w:val="en-US" w:eastAsia="en-US"/>
        </w:rPr>
      </w:pPr>
      <w:proofErr w:type="spellStart"/>
      <w:r>
        <w:rPr>
          <w:rFonts w:eastAsiaTheme="minorHAnsi"/>
          <w:i/>
          <w:lang w:val="en-US" w:eastAsia="en-US"/>
        </w:rPr>
        <w:t>Në</w:t>
      </w:r>
      <w:proofErr w:type="spellEnd"/>
      <w:r w:rsidR="00A312BA" w:rsidRPr="0050721B">
        <w:rPr>
          <w:rFonts w:eastAsiaTheme="minorHAnsi"/>
          <w:i/>
          <w:lang w:val="en-US" w:eastAsia="en-US"/>
        </w:rPr>
        <w:t xml:space="preserve"> </w:t>
      </w:r>
      <w:proofErr w:type="spellStart"/>
      <w:r w:rsidR="00A312BA" w:rsidRPr="0050721B">
        <w:rPr>
          <w:rFonts w:eastAsiaTheme="minorHAnsi"/>
          <w:i/>
          <w:lang w:val="en-US" w:eastAsia="en-US"/>
        </w:rPr>
        <w:t>nivel</w:t>
      </w:r>
      <w:proofErr w:type="spellEnd"/>
      <w:r w:rsidR="00A312BA" w:rsidRPr="0050721B">
        <w:rPr>
          <w:rFonts w:eastAsiaTheme="minorHAnsi"/>
          <w:i/>
          <w:lang w:val="en-US" w:eastAsia="en-US"/>
        </w:rPr>
        <w:t xml:space="preserve"> </w:t>
      </w:r>
      <w:proofErr w:type="spellStart"/>
      <w:r w:rsidR="00A312BA" w:rsidRPr="0050721B">
        <w:rPr>
          <w:rFonts w:eastAsiaTheme="minorHAnsi"/>
          <w:i/>
          <w:lang w:val="en-US" w:eastAsia="en-US"/>
        </w:rPr>
        <w:t>strategjik</w:t>
      </w:r>
      <w:proofErr w:type="spellEnd"/>
    </w:p>
    <w:p w:rsidR="00E1291B" w:rsidRPr="00E76D5D" w:rsidRDefault="00875364" w:rsidP="0050721B">
      <w:pPr>
        <w:autoSpaceDE w:val="0"/>
        <w:autoSpaceDN w:val="0"/>
        <w:adjustRightInd w:val="0"/>
        <w:spacing w:line="276" w:lineRule="auto"/>
        <w:jc w:val="both"/>
        <w:rPr>
          <w:rFonts w:eastAsiaTheme="minorHAnsi"/>
          <w:sz w:val="12"/>
          <w:lang w:val="en-US" w:eastAsia="en-US"/>
        </w:rPr>
      </w:pPr>
      <w:r w:rsidRPr="0050721B">
        <w:rPr>
          <w:rFonts w:eastAsiaTheme="minorHAnsi"/>
          <w:lang w:val="en-US" w:eastAsia="en-US"/>
        </w:rPr>
        <w:t xml:space="preserve"> </w:t>
      </w:r>
      <w:r w:rsidR="00E1291B" w:rsidRPr="0050721B">
        <w:rPr>
          <w:rFonts w:eastAsiaTheme="minorHAnsi"/>
          <w:lang w:val="en-US" w:eastAsia="en-US"/>
        </w:rPr>
        <w:t xml:space="preserve"> </w:t>
      </w:r>
      <w:r w:rsidRPr="0050721B">
        <w:rPr>
          <w:rFonts w:eastAsiaTheme="minorHAnsi"/>
          <w:lang w:val="en-US" w:eastAsia="en-US"/>
        </w:rPr>
        <w:t xml:space="preserve"> </w:t>
      </w:r>
    </w:p>
    <w:p w:rsidR="00E1291B" w:rsidRPr="0050721B" w:rsidRDefault="00E1291B" w:rsidP="0050721B">
      <w:pPr>
        <w:pStyle w:val="ListParagraph"/>
        <w:numPr>
          <w:ilvl w:val="0"/>
          <w:numId w:val="34"/>
        </w:numPr>
        <w:autoSpaceDE w:val="0"/>
        <w:autoSpaceDN w:val="0"/>
        <w:adjustRightInd w:val="0"/>
        <w:rPr>
          <w:rFonts w:ascii="Times New Roman" w:eastAsiaTheme="minorHAnsi" w:hAnsi="Times New Roman"/>
          <w:sz w:val="24"/>
          <w:szCs w:val="24"/>
          <w:lang w:val="en-US"/>
        </w:rPr>
      </w:pPr>
      <w:r w:rsidRPr="0050721B">
        <w:rPr>
          <w:rFonts w:ascii="Times New Roman" w:eastAsiaTheme="minorHAnsi" w:hAnsi="Times New Roman"/>
          <w:sz w:val="24"/>
          <w:szCs w:val="24"/>
          <w:lang w:val="en-US"/>
        </w:rPr>
        <w:t>P</w:t>
      </w:r>
      <w:r w:rsidR="00875364" w:rsidRPr="0050721B">
        <w:rPr>
          <w:rFonts w:ascii="Times New Roman" w:eastAsiaTheme="minorHAnsi" w:hAnsi="Times New Roman"/>
          <w:sz w:val="24"/>
          <w:szCs w:val="24"/>
          <w:lang w:val="en-US"/>
        </w:rPr>
        <w:t>ë</w:t>
      </w:r>
      <w:r w:rsidRPr="0050721B">
        <w:rPr>
          <w:rFonts w:ascii="Times New Roman" w:eastAsiaTheme="minorHAnsi" w:hAnsi="Times New Roman"/>
          <w:sz w:val="24"/>
          <w:szCs w:val="24"/>
          <w:lang w:val="en-US"/>
        </w:rPr>
        <w:t>rqindja/Numri i vendimeve të Komisionerit t</w:t>
      </w:r>
      <w:r w:rsidR="00875364" w:rsidRPr="0050721B">
        <w:rPr>
          <w:rFonts w:ascii="Times New Roman" w:eastAsiaTheme="minorHAnsi" w:hAnsi="Times New Roman"/>
          <w:sz w:val="24"/>
          <w:szCs w:val="24"/>
          <w:lang w:val="en-US"/>
        </w:rPr>
        <w:t>ë</w:t>
      </w:r>
      <w:r w:rsidRPr="0050721B">
        <w:rPr>
          <w:rFonts w:ascii="Times New Roman" w:eastAsiaTheme="minorHAnsi" w:hAnsi="Times New Roman"/>
          <w:sz w:val="24"/>
          <w:szCs w:val="24"/>
          <w:lang w:val="en-US"/>
        </w:rPr>
        <w:t xml:space="preserve"> l</w:t>
      </w:r>
      <w:r w:rsidR="00875364" w:rsidRPr="0050721B">
        <w:rPr>
          <w:rFonts w:ascii="Times New Roman" w:eastAsiaTheme="minorHAnsi" w:hAnsi="Times New Roman"/>
          <w:sz w:val="24"/>
          <w:szCs w:val="24"/>
          <w:lang w:val="en-US"/>
        </w:rPr>
        <w:t>ë</w:t>
      </w:r>
      <w:r w:rsidRPr="0050721B">
        <w:rPr>
          <w:rFonts w:ascii="Times New Roman" w:eastAsiaTheme="minorHAnsi" w:hAnsi="Times New Roman"/>
          <w:sz w:val="24"/>
          <w:szCs w:val="24"/>
          <w:lang w:val="en-US"/>
        </w:rPr>
        <w:t>na n</w:t>
      </w:r>
      <w:r w:rsidR="00875364" w:rsidRPr="0050721B">
        <w:rPr>
          <w:rFonts w:ascii="Times New Roman" w:eastAsiaTheme="minorHAnsi" w:hAnsi="Times New Roman"/>
          <w:sz w:val="24"/>
          <w:szCs w:val="24"/>
          <w:lang w:val="en-US"/>
        </w:rPr>
        <w:t>ë</w:t>
      </w:r>
      <w:r w:rsidRPr="0050721B">
        <w:rPr>
          <w:rFonts w:ascii="Times New Roman" w:eastAsiaTheme="minorHAnsi" w:hAnsi="Times New Roman"/>
          <w:sz w:val="24"/>
          <w:szCs w:val="24"/>
          <w:lang w:val="en-US"/>
        </w:rPr>
        <w:t xml:space="preserve"> fuqi nga gjykata kundrejt totalit</w:t>
      </w:r>
    </w:p>
    <w:p w:rsidR="00A312BA" w:rsidRPr="0050721B" w:rsidRDefault="00363931" w:rsidP="0050721B">
      <w:pPr>
        <w:autoSpaceDE w:val="0"/>
        <w:autoSpaceDN w:val="0"/>
        <w:adjustRightInd w:val="0"/>
        <w:spacing w:line="276" w:lineRule="auto"/>
        <w:rPr>
          <w:rFonts w:eastAsiaTheme="minorHAnsi"/>
          <w:i/>
          <w:lang w:val="en-US"/>
        </w:rPr>
      </w:pPr>
      <w:proofErr w:type="spellStart"/>
      <w:r>
        <w:rPr>
          <w:rFonts w:eastAsiaTheme="minorHAnsi"/>
          <w:i/>
          <w:lang w:val="en-US"/>
        </w:rPr>
        <w:t>Në</w:t>
      </w:r>
      <w:proofErr w:type="spellEnd"/>
      <w:r>
        <w:rPr>
          <w:rFonts w:eastAsiaTheme="minorHAnsi"/>
          <w:i/>
          <w:lang w:val="en-US"/>
        </w:rPr>
        <w:t xml:space="preserve"> </w:t>
      </w:r>
      <w:proofErr w:type="spellStart"/>
      <w:r w:rsidR="00A312BA" w:rsidRPr="0050721B">
        <w:rPr>
          <w:rFonts w:eastAsiaTheme="minorHAnsi"/>
          <w:i/>
          <w:lang w:val="en-US"/>
        </w:rPr>
        <w:t>nivel</w:t>
      </w:r>
      <w:proofErr w:type="spellEnd"/>
      <w:r w:rsidR="00A312BA" w:rsidRPr="0050721B">
        <w:rPr>
          <w:rFonts w:eastAsiaTheme="minorHAnsi"/>
          <w:i/>
          <w:lang w:val="en-US"/>
        </w:rPr>
        <w:t xml:space="preserve"> </w:t>
      </w:r>
      <w:proofErr w:type="spellStart"/>
      <w:r w:rsidR="00A312BA" w:rsidRPr="0050721B">
        <w:rPr>
          <w:rFonts w:eastAsiaTheme="minorHAnsi"/>
          <w:i/>
          <w:lang w:val="en-US"/>
        </w:rPr>
        <w:t>operacional</w:t>
      </w:r>
      <w:proofErr w:type="spellEnd"/>
    </w:p>
    <w:p w:rsidR="00A312BA" w:rsidRPr="00E76D5D" w:rsidRDefault="00A312BA" w:rsidP="0050721B">
      <w:pPr>
        <w:autoSpaceDE w:val="0"/>
        <w:autoSpaceDN w:val="0"/>
        <w:adjustRightInd w:val="0"/>
        <w:spacing w:line="276" w:lineRule="auto"/>
        <w:rPr>
          <w:rFonts w:eastAsiaTheme="minorHAnsi"/>
          <w:sz w:val="8"/>
          <w:lang w:val="en-US"/>
        </w:rPr>
      </w:pPr>
    </w:p>
    <w:p w:rsidR="00E1291B" w:rsidRPr="0050721B" w:rsidRDefault="00363931" w:rsidP="00363931">
      <w:pPr>
        <w:pStyle w:val="ListParagraph"/>
        <w:numPr>
          <w:ilvl w:val="0"/>
          <w:numId w:val="34"/>
        </w:numPr>
        <w:autoSpaceDE w:val="0"/>
        <w:autoSpaceDN w:val="0"/>
        <w:adjustRightInd w:val="0"/>
        <w:jc w:val="both"/>
        <w:rPr>
          <w:rFonts w:ascii="Times New Roman" w:eastAsiaTheme="minorHAnsi" w:hAnsi="Times New Roman"/>
          <w:sz w:val="24"/>
          <w:szCs w:val="24"/>
          <w:lang w:val="en-US"/>
        </w:rPr>
      </w:pPr>
      <w:proofErr w:type="spellStart"/>
      <w:r>
        <w:rPr>
          <w:rFonts w:ascii="Times New Roman" w:eastAsiaTheme="minorHAnsi" w:hAnsi="Times New Roman"/>
          <w:sz w:val="24"/>
          <w:szCs w:val="24"/>
          <w:lang w:val="en-US"/>
        </w:rPr>
        <w:t>Përqindja</w:t>
      </w:r>
      <w:proofErr w:type="spellEnd"/>
      <w:r>
        <w:rPr>
          <w:rFonts w:ascii="Times New Roman" w:eastAsiaTheme="minorHAnsi" w:hAnsi="Times New Roman"/>
          <w:sz w:val="24"/>
          <w:szCs w:val="24"/>
          <w:lang w:val="en-US"/>
        </w:rPr>
        <w:t xml:space="preserve"> </w:t>
      </w:r>
      <w:r w:rsidR="00E1291B" w:rsidRPr="0050721B">
        <w:rPr>
          <w:rFonts w:ascii="Times New Roman" w:eastAsiaTheme="minorHAnsi" w:hAnsi="Times New Roman"/>
          <w:sz w:val="24"/>
          <w:szCs w:val="24"/>
          <w:lang w:val="en-US"/>
        </w:rPr>
        <w:t xml:space="preserve">e </w:t>
      </w:r>
      <w:proofErr w:type="spellStart"/>
      <w:r w:rsidR="00E1291B" w:rsidRPr="0050721B">
        <w:rPr>
          <w:rFonts w:ascii="Times New Roman" w:eastAsiaTheme="minorHAnsi" w:hAnsi="Times New Roman"/>
          <w:sz w:val="24"/>
          <w:szCs w:val="24"/>
          <w:lang w:val="en-US"/>
        </w:rPr>
        <w:t>numrit</w:t>
      </w:r>
      <w:proofErr w:type="spellEnd"/>
      <w:r w:rsidR="00E1291B" w:rsidRPr="0050721B">
        <w:rPr>
          <w:rFonts w:ascii="Times New Roman" w:eastAsiaTheme="minorHAnsi" w:hAnsi="Times New Roman"/>
          <w:sz w:val="24"/>
          <w:szCs w:val="24"/>
          <w:lang w:val="en-US"/>
        </w:rPr>
        <w:t xml:space="preserve"> të </w:t>
      </w:r>
      <w:proofErr w:type="spellStart"/>
      <w:r w:rsidR="00E1291B" w:rsidRPr="0050721B">
        <w:rPr>
          <w:rFonts w:ascii="Times New Roman" w:eastAsiaTheme="minorHAnsi" w:hAnsi="Times New Roman"/>
          <w:sz w:val="24"/>
          <w:szCs w:val="24"/>
          <w:lang w:val="en-US"/>
        </w:rPr>
        <w:t>Autoriteteve</w:t>
      </w:r>
      <w:proofErr w:type="spellEnd"/>
      <w:r w:rsidR="00E1291B" w:rsidRPr="0050721B">
        <w:rPr>
          <w:rFonts w:ascii="Times New Roman" w:eastAsiaTheme="minorHAnsi" w:hAnsi="Times New Roman"/>
          <w:sz w:val="24"/>
          <w:szCs w:val="24"/>
          <w:lang w:val="en-US"/>
        </w:rPr>
        <w:t xml:space="preserve"> </w:t>
      </w:r>
      <w:proofErr w:type="spellStart"/>
      <w:r w:rsidR="00E1291B" w:rsidRPr="0050721B">
        <w:rPr>
          <w:rFonts w:ascii="Times New Roman" w:eastAsiaTheme="minorHAnsi" w:hAnsi="Times New Roman"/>
          <w:sz w:val="24"/>
          <w:szCs w:val="24"/>
          <w:lang w:val="en-US"/>
        </w:rPr>
        <w:t>Publike</w:t>
      </w:r>
      <w:proofErr w:type="spellEnd"/>
      <w:r w:rsidR="00E1291B" w:rsidRPr="0050721B">
        <w:rPr>
          <w:rFonts w:ascii="Times New Roman" w:eastAsiaTheme="minorHAnsi" w:hAnsi="Times New Roman"/>
          <w:sz w:val="24"/>
          <w:szCs w:val="24"/>
          <w:lang w:val="en-US"/>
        </w:rPr>
        <w:t xml:space="preserve"> me program transparenc</w:t>
      </w:r>
      <w:r>
        <w:rPr>
          <w:rFonts w:ascii="Times New Roman" w:eastAsiaTheme="minorHAnsi" w:hAnsi="Times New Roman"/>
          <w:sz w:val="24"/>
          <w:szCs w:val="24"/>
          <w:lang w:val="en-US"/>
        </w:rPr>
        <w:t>e</w:t>
      </w:r>
      <w:r w:rsidR="00E1291B" w:rsidRPr="0050721B">
        <w:rPr>
          <w:rFonts w:ascii="Times New Roman" w:eastAsiaTheme="minorHAnsi" w:hAnsi="Times New Roman"/>
          <w:sz w:val="24"/>
          <w:szCs w:val="24"/>
          <w:lang w:val="en-US"/>
        </w:rPr>
        <w:t xml:space="preserve"> të </w:t>
      </w:r>
      <w:proofErr w:type="spellStart"/>
      <w:r w:rsidR="00E1291B" w:rsidRPr="0050721B">
        <w:rPr>
          <w:rFonts w:ascii="Times New Roman" w:eastAsiaTheme="minorHAnsi" w:hAnsi="Times New Roman"/>
          <w:sz w:val="24"/>
          <w:szCs w:val="24"/>
          <w:lang w:val="en-US"/>
        </w:rPr>
        <w:t>publikuar</w:t>
      </w:r>
      <w:proofErr w:type="spellEnd"/>
      <w:r w:rsidR="00E1291B" w:rsidRPr="0050721B">
        <w:rPr>
          <w:rFonts w:ascii="Times New Roman" w:eastAsiaTheme="minorHAnsi" w:hAnsi="Times New Roman"/>
          <w:sz w:val="24"/>
          <w:szCs w:val="24"/>
          <w:lang w:val="en-US"/>
        </w:rPr>
        <w:t xml:space="preserve">, </w:t>
      </w:r>
      <w:proofErr w:type="spellStart"/>
      <w:r w:rsidR="00E1291B" w:rsidRPr="0050721B">
        <w:rPr>
          <w:rFonts w:ascii="Times New Roman" w:eastAsiaTheme="minorHAnsi" w:hAnsi="Times New Roman"/>
          <w:sz w:val="24"/>
          <w:szCs w:val="24"/>
          <w:lang w:val="en-US"/>
        </w:rPr>
        <w:t>sipas</w:t>
      </w:r>
      <w:proofErr w:type="spellEnd"/>
      <w:r w:rsidR="00E1291B" w:rsidRPr="0050721B">
        <w:rPr>
          <w:rFonts w:ascii="Times New Roman" w:eastAsiaTheme="minorHAnsi" w:hAnsi="Times New Roman"/>
          <w:sz w:val="24"/>
          <w:szCs w:val="24"/>
          <w:lang w:val="en-US"/>
        </w:rPr>
        <w:t xml:space="preserve"> </w:t>
      </w:r>
      <w:proofErr w:type="spellStart"/>
      <w:r w:rsidR="00E1291B" w:rsidRPr="0050721B">
        <w:rPr>
          <w:rFonts w:ascii="Times New Roman" w:eastAsiaTheme="minorHAnsi" w:hAnsi="Times New Roman"/>
          <w:sz w:val="24"/>
          <w:szCs w:val="24"/>
          <w:lang w:val="en-US"/>
        </w:rPr>
        <w:t>formatit</w:t>
      </w:r>
      <w:proofErr w:type="spellEnd"/>
      <w:r w:rsidR="00E1291B" w:rsidRPr="0050721B">
        <w:rPr>
          <w:rFonts w:ascii="Times New Roman" w:eastAsiaTheme="minorHAnsi" w:hAnsi="Times New Roman"/>
          <w:sz w:val="24"/>
          <w:szCs w:val="24"/>
          <w:lang w:val="en-US"/>
        </w:rPr>
        <w:t xml:space="preserve"> të </w:t>
      </w:r>
      <w:proofErr w:type="spellStart"/>
      <w:r w:rsidR="00E1291B" w:rsidRPr="0050721B">
        <w:rPr>
          <w:rFonts w:ascii="Times New Roman" w:eastAsiaTheme="minorHAnsi" w:hAnsi="Times New Roman"/>
          <w:sz w:val="24"/>
          <w:szCs w:val="24"/>
          <w:lang w:val="en-US"/>
        </w:rPr>
        <w:t>miratuar</w:t>
      </w:r>
      <w:proofErr w:type="spellEnd"/>
      <w:r w:rsidR="00E1291B" w:rsidRPr="0050721B">
        <w:rPr>
          <w:rFonts w:ascii="Times New Roman" w:eastAsiaTheme="minorHAnsi" w:hAnsi="Times New Roman"/>
          <w:sz w:val="24"/>
          <w:szCs w:val="24"/>
          <w:lang w:val="en-US"/>
        </w:rPr>
        <w:t xml:space="preserve"> </w:t>
      </w:r>
      <w:proofErr w:type="spellStart"/>
      <w:r w:rsidR="00E1291B" w:rsidRPr="0050721B">
        <w:rPr>
          <w:rFonts w:ascii="Times New Roman" w:eastAsiaTheme="minorHAnsi" w:hAnsi="Times New Roman"/>
          <w:sz w:val="24"/>
          <w:szCs w:val="24"/>
          <w:lang w:val="en-US"/>
        </w:rPr>
        <w:t>nga</w:t>
      </w:r>
      <w:proofErr w:type="spellEnd"/>
      <w:r w:rsidR="00E1291B" w:rsidRPr="0050721B">
        <w:rPr>
          <w:rFonts w:ascii="Times New Roman" w:eastAsiaTheme="minorHAnsi" w:hAnsi="Times New Roman"/>
          <w:sz w:val="24"/>
          <w:szCs w:val="24"/>
          <w:lang w:val="en-US"/>
        </w:rPr>
        <w:t xml:space="preserve"> Komis</w:t>
      </w:r>
      <w:r w:rsidR="00875364" w:rsidRPr="0050721B">
        <w:rPr>
          <w:rFonts w:ascii="Times New Roman" w:eastAsiaTheme="minorHAnsi" w:hAnsi="Times New Roman"/>
          <w:sz w:val="24"/>
          <w:szCs w:val="24"/>
          <w:lang w:val="en-US"/>
        </w:rPr>
        <w:t>i</w:t>
      </w:r>
      <w:r w:rsidR="00E1291B" w:rsidRPr="0050721B">
        <w:rPr>
          <w:rFonts w:ascii="Times New Roman" w:eastAsiaTheme="minorHAnsi" w:hAnsi="Times New Roman"/>
          <w:sz w:val="24"/>
          <w:szCs w:val="24"/>
          <w:lang w:val="en-US"/>
        </w:rPr>
        <w:t xml:space="preserve">oneri dhe të </w:t>
      </w:r>
      <w:proofErr w:type="spellStart"/>
      <w:r w:rsidR="00E1291B" w:rsidRPr="0050721B">
        <w:rPr>
          <w:rFonts w:ascii="Times New Roman" w:eastAsiaTheme="minorHAnsi" w:hAnsi="Times New Roman"/>
          <w:sz w:val="24"/>
          <w:szCs w:val="24"/>
          <w:lang w:val="en-US"/>
        </w:rPr>
        <w:t>përditësuar</w:t>
      </w:r>
      <w:proofErr w:type="spellEnd"/>
      <w:r w:rsidR="00E1291B" w:rsidRPr="0050721B">
        <w:rPr>
          <w:rFonts w:ascii="Times New Roman" w:eastAsiaTheme="minorHAnsi" w:hAnsi="Times New Roman"/>
          <w:sz w:val="24"/>
          <w:szCs w:val="24"/>
          <w:lang w:val="en-US"/>
        </w:rPr>
        <w:t xml:space="preserve"> me </w:t>
      </w:r>
      <w:proofErr w:type="spellStart"/>
      <w:r w:rsidR="00E1291B" w:rsidRPr="0050721B">
        <w:rPr>
          <w:rFonts w:ascii="Times New Roman" w:eastAsiaTheme="minorHAnsi" w:hAnsi="Times New Roman"/>
          <w:sz w:val="24"/>
          <w:szCs w:val="24"/>
          <w:lang w:val="en-US"/>
        </w:rPr>
        <w:t>informacion</w:t>
      </w:r>
      <w:proofErr w:type="spellEnd"/>
      <w:r w:rsidR="00E1291B" w:rsidRPr="0050721B">
        <w:rPr>
          <w:rFonts w:ascii="Times New Roman" w:eastAsiaTheme="minorHAnsi" w:hAnsi="Times New Roman"/>
          <w:sz w:val="24"/>
          <w:szCs w:val="24"/>
          <w:lang w:val="en-US"/>
        </w:rPr>
        <w:t xml:space="preserve"> </w:t>
      </w:r>
      <w:proofErr w:type="spellStart"/>
      <w:r w:rsidR="00B41105">
        <w:rPr>
          <w:rFonts w:ascii="Times New Roman" w:eastAsiaTheme="minorHAnsi" w:hAnsi="Times New Roman"/>
          <w:sz w:val="24"/>
          <w:szCs w:val="24"/>
          <w:lang w:val="en-US"/>
        </w:rPr>
        <w:t>në</w:t>
      </w:r>
      <w:proofErr w:type="spellEnd"/>
      <w:r w:rsidR="00B41105">
        <w:rPr>
          <w:rFonts w:ascii="Times New Roman" w:eastAsiaTheme="minorHAnsi" w:hAnsi="Times New Roman"/>
          <w:sz w:val="24"/>
          <w:szCs w:val="24"/>
          <w:lang w:val="en-US"/>
        </w:rPr>
        <w:t xml:space="preserve"> </w:t>
      </w:r>
      <w:proofErr w:type="spellStart"/>
      <w:r w:rsidR="00B41105">
        <w:rPr>
          <w:rFonts w:ascii="Times New Roman" w:eastAsiaTheme="minorHAnsi" w:hAnsi="Times New Roman"/>
          <w:sz w:val="24"/>
          <w:szCs w:val="24"/>
          <w:lang w:val="en-US"/>
        </w:rPr>
        <w:t>raport</w:t>
      </w:r>
      <w:proofErr w:type="spellEnd"/>
      <w:r w:rsidR="00B41105">
        <w:rPr>
          <w:rFonts w:ascii="Times New Roman" w:eastAsiaTheme="minorHAnsi" w:hAnsi="Times New Roman"/>
          <w:sz w:val="24"/>
          <w:szCs w:val="24"/>
          <w:lang w:val="en-US"/>
        </w:rPr>
        <w:t xml:space="preserve"> me </w:t>
      </w:r>
      <w:proofErr w:type="spellStart"/>
      <w:r w:rsidR="00B41105">
        <w:rPr>
          <w:rFonts w:ascii="Times New Roman" w:eastAsiaTheme="minorHAnsi" w:hAnsi="Times New Roman"/>
          <w:sz w:val="24"/>
          <w:szCs w:val="24"/>
          <w:lang w:val="en-US"/>
        </w:rPr>
        <w:t>totalin</w:t>
      </w:r>
      <w:proofErr w:type="spellEnd"/>
    </w:p>
    <w:p w:rsidR="00E1291B" w:rsidRPr="0050721B" w:rsidRDefault="00E1291B" w:rsidP="00363931">
      <w:pPr>
        <w:pStyle w:val="ListParagraph"/>
        <w:numPr>
          <w:ilvl w:val="0"/>
          <w:numId w:val="34"/>
        </w:numPr>
        <w:autoSpaceDE w:val="0"/>
        <w:autoSpaceDN w:val="0"/>
        <w:adjustRightInd w:val="0"/>
        <w:jc w:val="both"/>
        <w:rPr>
          <w:rFonts w:ascii="Times New Roman" w:eastAsiaTheme="minorHAnsi" w:hAnsi="Times New Roman"/>
          <w:sz w:val="24"/>
          <w:szCs w:val="24"/>
          <w:lang w:val="en-US"/>
        </w:rPr>
      </w:pPr>
      <w:proofErr w:type="spellStart"/>
      <w:r w:rsidRPr="0050721B">
        <w:rPr>
          <w:rFonts w:ascii="Times New Roman" w:eastAsiaTheme="minorHAnsi" w:hAnsi="Times New Roman"/>
          <w:sz w:val="24"/>
          <w:szCs w:val="24"/>
          <w:lang w:val="en-US"/>
        </w:rPr>
        <w:t>Niveli</w:t>
      </w:r>
      <w:proofErr w:type="spellEnd"/>
      <w:r w:rsidRPr="0050721B">
        <w:rPr>
          <w:rFonts w:ascii="Times New Roman" w:eastAsiaTheme="minorHAnsi" w:hAnsi="Times New Roman"/>
          <w:sz w:val="24"/>
          <w:szCs w:val="24"/>
          <w:lang w:val="en-US"/>
        </w:rPr>
        <w:t xml:space="preserve"> </w:t>
      </w:r>
      <w:proofErr w:type="spellStart"/>
      <w:r w:rsidRPr="0050721B">
        <w:rPr>
          <w:rFonts w:ascii="Times New Roman" w:eastAsiaTheme="minorHAnsi" w:hAnsi="Times New Roman"/>
          <w:sz w:val="24"/>
          <w:szCs w:val="24"/>
          <w:lang w:val="en-US"/>
        </w:rPr>
        <w:t>i</w:t>
      </w:r>
      <w:proofErr w:type="spellEnd"/>
      <w:r w:rsidRPr="0050721B">
        <w:rPr>
          <w:rFonts w:ascii="Times New Roman" w:eastAsiaTheme="minorHAnsi" w:hAnsi="Times New Roman"/>
          <w:sz w:val="24"/>
          <w:szCs w:val="24"/>
          <w:lang w:val="en-US"/>
        </w:rPr>
        <w:t xml:space="preserve"> </w:t>
      </w:r>
      <w:proofErr w:type="spellStart"/>
      <w:r w:rsidRPr="0050721B">
        <w:rPr>
          <w:rFonts w:ascii="Times New Roman" w:eastAsiaTheme="minorHAnsi" w:hAnsi="Times New Roman"/>
          <w:sz w:val="24"/>
          <w:szCs w:val="24"/>
          <w:lang w:val="en-US"/>
        </w:rPr>
        <w:t>zbat</w:t>
      </w:r>
      <w:r w:rsidR="00363931">
        <w:rPr>
          <w:rFonts w:ascii="Times New Roman" w:eastAsiaTheme="minorHAnsi" w:hAnsi="Times New Roman"/>
          <w:sz w:val="24"/>
          <w:szCs w:val="24"/>
          <w:lang w:val="en-US"/>
        </w:rPr>
        <w:t>imit</w:t>
      </w:r>
      <w:proofErr w:type="spellEnd"/>
      <w:r w:rsidR="00363931">
        <w:rPr>
          <w:rFonts w:ascii="Times New Roman" w:eastAsiaTheme="minorHAnsi" w:hAnsi="Times New Roman"/>
          <w:sz w:val="24"/>
          <w:szCs w:val="24"/>
          <w:lang w:val="en-US"/>
        </w:rPr>
        <w:t xml:space="preserve"> të </w:t>
      </w:r>
      <w:proofErr w:type="spellStart"/>
      <w:r w:rsidR="00363931">
        <w:rPr>
          <w:rFonts w:ascii="Times New Roman" w:eastAsiaTheme="minorHAnsi" w:hAnsi="Times New Roman"/>
          <w:sz w:val="24"/>
          <w:szCs w:val="24"/>
          <w:lang w:val="en-US"/>
        </w:rPr>
        <w:t>akteve</w:t>
      </w:r>
      <w:proofErr w:type="spellEnd"/>
      <w:r w:rsidR="00363931">
        <w:rPr>
          <w:rFonts w:ascii="Times New Roman" w:eastAsiaTheme="minorHAnsi" w:hAnsi="Times New Roman"/>
          <w:sz w:val="24"/>
          <w:szCs w:val="24"/>
          <w:lang w:val="en-US"/>
        </w:rPr>
        <w:t xml:space="preserve"> të </w:t>
      </w:r>
      <w:proofErr w:type="spellStart"/>
      <w:r w:rsidR="00363931">
        <w:rPr>
          <w:rFonts w:ascii="Times New Roman" w:eastAsiaTheme="minorHAnsi" w:hAnsi="Times New Roman"/>
          <w:sz w:val="24"/>
          <w:szCs w:val="24"/>
          <w:lang w:val="en-US"/>
        </w:rPr>
        <w:t>Komisionerit</w:t>
      </w:r>
      <w:proofErr w:type="spellEnd"/>
      <w:r w:rsidR="00363931">
        <w:rPr>
          <w:rFonts w:ascii="Times New Roman" w:eastAsiaTheme="minorHAnsi" w:hAnsi="Times New Roman"/>
          <w:sz w:val="24"/>
          <w:szCs w:val="24"/>
          <w:lang w:val="en-US"/>
        </w:rPr>
        <w:t xml:space="preserve"> </w:t>
      </w:r>
      <w:proofErr w:type="spellStart"/>
      <w:r w:rsidR="00B41105">
        <w:rPr>
          <w:rFonts w:ascii="Times New Roman" w:eastAsiaTheme="minorHAnsi" w:hAnsi="Times New Roman"/>
          <w:sz w:val="24"/>
          <w:szCs w:val="24"/>
          <w:lang w:val="en-US"/>
        </w:rPr>
        <w:t>mbi</w:t>
      </w:r>
      <w:proofErr w:type="spellEnd"/>
      <w:r w:rsidR="00B41105">
        <w:rPr>
          <w:rFonts w:ascii="Times New Roman" w:eastAsiaTheme="minorHAnsi" w:hAnsi="Times New Roman"/>
          <w:sz w:val="24"/>
          <w:szCs w:val="24"/>
          <w:lang w:val="en-US"/>
        </w:rPr>
        <w:t xml:space="preserve"> të</w:t>
      </w:r>
      <w:r w:rsidRPr="0050721B">
        <w:rPr>
          <w:rFonts w:ascii="Times New Roman" w:eastAsiaTheme="minorHAnsi" w:hAnsi="Times New Roman"/>
          <w:sz w:val="24"/>
          <w:szCs w:val="24"/>
          <w:lang w:val="en-US"/>
        </w:rPr>
        <w:t xml:space="preserve"> </w:t>
      </w:r>
      <w:proofErr w:type="spellStart"/>
      <w:r w:rsidRPr="0050721B">
        <w:rPr>
          <w:rFonts w:ascii="Times New Roman" w:eastAsiaTheme="minorHAnsi" w:hAnsi="Times New Roman"/>
          <w:sz w:val="24"/>
          <w:szCs w:val="24"/>
          <w:lang w:val="en-US"/>
        </w:rPr>
        <w:t>drejtën</w:t>
      </w:r>
      <w:proofErr w:type="spellEnd"/>
      <w:r w:rsidRPr="0050721B">
        <w:rPr>
          <w:rFonts w:ascii="Times New Roman" w:eastAsiaTheme="minorHAnsi" w:hAnsi="Times New Roman"/>
          <w:sz w:val="24"/>
          <w:szCs w:val="24"/>
          <w:lang w:val="en-US"/>
        </w:rPr>
        <w:t xml:space="preserve"> e </w:t>
      </w:r>
      <w:proofErr w:type="spellStart"/>
      <w:r w:rsidRPr="0050721B">
        <w:rPr>
          <w:rFonts w:ascii="Times New Roman" w:eastAsiaTheme="minorHAnsi" w:hAnsi="Times New Roman"/>
          <w:sz w:val="24"/>
          <w:szCs w:val="24"/>
          <w:lang w:val="en-US"/>
        </w:rPr>
        <w:t>informimit</w:t>
      </w:r>
      <w:proofErr w:type="spellEnd"/>
      <w:r w:rsidRPr="0050721B">
        <w:rPr>
          <w:rFonts w:ascii="Times New Roman" w:eastAsiaTheme="minorHAnsi" w:hAnsi="Times New Roman"/>
          <w:sz w:val="24"/>
          <w:szCs w:val="24"/>
          <w:lang w:val="en-US"/>
        </w:rPr>
        <w:t xml:space="preserve"> </w:t>
      </w:r>
      <w:proofErr w:type="spellStart"/>
      <w:r w:rsidR="00B41105">
        <w:rPr>
          <w:rFonts w:ascii="Times New Roman" w:eastAsiaTheme="minorHAnsi" w:hAnsi="Times New Roman"/>
          <w:sz w:val="24"/>
          <w:szCs w:val="24"/>
          <w:lang w:val="en-US"/>
        </w:rPr>
        <w:t>n</w:t>
      </w:r>
      <w:r w:rsidR="00363931">
        <w:rPr>
          <w:rFonts w:ascii="Times New Roman" w:eastAsiaTheme="minorHAnsi" w:hAnsi="Times New Roman"/>
          <w:sz w:val="24"/>
          <w:szCs w:val="24"/>
          <w:lang w:val="en-US"/>
        </w:rPr>
        <w:t>ë</w:t>
      </w:r>
      <w:proofErr w:type="spellEnd"/>
      <w:r w:rsidR="00B41105">
        <w:rPr>
          <w:rFonts w:ascii="Times New Roman" w:eastAsiaTheme="minorHAnsi" w:hAnsi="Times New Roman"/>
          <w:sz w:val="24"/>
          <w:szCs w:val="24"/>
          <w:lang w:val="en-US"/>
        </w:rPr>
        <w:t xml:space="preserve"> </w:t>
      </w:r>
      <w:proofErr w:type="spellStart"/>
      <w:r w:rsidR="00B41105">
        <w:rPr>
          <w:rFonts w:ascii="Times New Roman" w:eastAsiaTheme="minorHAnsi" w:hAnsi="Times New Roman"/>
          <w:sz w:val="24"/>
          <w:szCs w:val="24"/>
          <w:lang w:val="en-US"/>
        </w:rPr>
        <w:t>raport</w:t>
      </w:r>
      <w:proofErr w:type="spellEnd"/>
      <w:r w:rsidR="00B41105">
        <w:rPr>
          <w:rFonts w:ascii="Times New Roman" w:eastAsiaTheme="minorHAnsi" w:hAnsi="Times New Roman"/>
          <w:sz w:val="24"/>
          <w:szCs w:val="24"/>
          <w:lang w:val="en-US"/>
        </w:rPr>
        <w:t xml:space="preserve"> me </w:t>
      </w:r>
      <w:proofErr w:type="spellStart"/>
      <w:r w:rsidRPr="0050721B">
        <w:rPr>
          <w:rFonts w:ascii="Times New Roman" w:eastAsiaTheme="minorHAnsi" w:hAnsi="Times New Roman"/>
          <w:sz w:val="24"/>
          <w:szCs w:val="24"/>
          <w:lang w:val="en-US"/>
        </w:rPr>
        <w:t>totali</w:t>
      </w:r>
      <w:proofErr w:type="spellEnd"/>
      <w:r w:rsidR="00B41105">
        <w:rPr>
          <w:rFonts w:ascii="Times New Roman" w:eastAsiaTheme="minorHAnsi" w:hAnsi="Times New Roman"/>
          <w:sz w:val="24"/>
          <w:szCs w:val="24"/>
          <w:lang w:val="en-US"/>
        </w:rPr>
        <w:t xml:space="preserve"> </w:t>
      </w:r>
      <w:r w:rsidRPr="0050721B">
        <w:rPr>
          <w:rFonts w:ascii="Times New Roman" w:eastAsiaTheme="minorHAnsi" w:hAnsi="Times New Roman"/>
          <w:sz w:val="24"/>
          <w:szCs w:val="24"/>
          <w:lang w:val="en-US"/>
        </w:rPr>
        <w:t xml:space="preserve"> </w:t>
      </w:r>
    </w:p>
    <w:p w:rsidR="00E1291B" w:rsidRPr="0050721B" w:rsidRDefault="00E1291B" w:rsidP="00363931">
      <w:pPr>
        <w:pStyle w:val="ListParagraph"/>
        <w:numPr>
          <w:ilvl w:val="0"/>
          <w:numId w:val="34"/>
        </w:numPr>
        <w:autoSpaceDE w:val="0"/>
        <w:autoSpaceDN w:val="0"/>
        <w:adjustRightInd w:val="0"/>
        <w:jc w:val="both"/>
        <w:rPr>
          <w:rFonts w:ascii="Times New Roman" w:eastAsiaTheme="minorHAnsi" w:hAnsi="Times New Roman"/>
          <w:sz w:val="24"/>
          <w:szCs w:val="24"/>
          <w:lang w:val="en-US"/>
        </w:rPr>
      </w:pPr>
      <w:proofErr w:type="spellStart"/>
      <w:r w:rsidRPr="0050721B">
        <w:rPr>
          <w:rFonts w:ascii="Times New Roman" w:eastAsiaTheme="minorHAnsi" w:hAnsi="Times New Roman"/>
          <w:sz w:val="24"/>
          <w:szCs w:val="24"/>
          <w:lang w:val="en-US"/>
        </w:rPr>
        <w:t>Niveli</w:t>
      </w:r>
      <w:proofErr w:type="spellEnd"/>
      <w:r w:rsidRPr="0050721B">
        <w:rPr>
          <w:rFonts w:ascii="Times New Roman" w:eastAsiaTheme="minorHAnsi" w:hAnsi="Times New Roman"/>
          <w:sz w:val="24"/>
          <w:szCs w:val="24"/>
          <w:lang w:val="en-US"/>
        </w:rPr>
        <w:t xml:space="preserve"> </w:t>
      </w:r>
      <w:proofErr w:type="spellStart"/>
      <w:r w:rsidRPr="0050721B">
        <w:rPr>
          <w:rFonts w:ascii="Times New Roman" w:eastAsiaTheme="minorHAnsi" w:hAnsi="Times New Roman"/>
          <w:sz w:val="24"/>
          <w:szCs w:val="24"/>
          <w:lang w:val="en-US"/>
        </w:rPr>
        <w:t>i</w:t>
      </w:r>
      <w:proofErr w:type="spellEnd"/>
      <w:r w:rsidRPr="0050721B">
        <w:rPr>
          <w:rFonts w:ascii="Times New Roman" w:eastAsiaTheme="minorHAnsi" w:hAnsi="Times New Roman"/>
          <w:sz w:val="24"/>
          <w:szCs w:val="24"/>
          <w:lang w:val="en-US"/>
        </w:rPr>
        <w:t xml:space="preserve"> </w:t>
      </w:r>
      <w:proofErr w:type="spellStart"/>
      <w:r w:rsidRPr="0050721B">
        <w:rPr>
          <w:rFonts w:ascii="Times New Roman" w:eastAsiaTheme="minorHAnsi" w:hAnsi="Times New Roman"/>
          <w:sz w:val="24"/>
          <w:szCs w:val="24"/>
          <w:lang w:val="en-US"/>
        </w:rPr>
        <w:t>zbat</w:t>
      </w:r>
      <w:r w:rsidR="00363931">
        <w:rPr>
          <w:rFonts w:ascii="Times New Roman" w:eastAsiaTheme="minorHAnsi" w:hAnsi="Times New Roman"/>
          <w:sz w:val="24"/>
          <w:szCs w:val="24"/>
          <w:lang w:val="en-US"/>
        </w:rPr>
        <w:t>imit</w:t>
      </w:r>
      <w:proofErr w:type="spellEnd"/>
      <w:r w:rsidR="00363931">
        <w:rPr>
          <w:rFonts w:ascii="Times New Roman" w:eastAsiaTheme="minorHAnsi" w:hAnsi="Times New Roman"/>
          <w:sz w:val="24"/>
          <w:szCs w:val="24"/>
          <w:lang w:val="en-US"/>
        </w:rPr>
        <w:t xml:space="preserve"> të </w:t>
      </w:r>
      <w:proofErr w:type="spellStart"/>
      <w:r w:rsidR="00363931">
        <w:rPr>
          <w:rFonts w:ascii="Times New Roman" w:eastAsiaTheme="minorHAnsi" w:hAnsi="Times New Roman"/>
          <w:sz w:val="24"/>
          <w:szCs w:val="24"/>
          <w:lang w:val="en-US"/>
        </w:rPr>
        <w:t>akteve</w:t>
      </w:r>
      <w:proofErr w:type="spellEnd"/>
      <w:r w:rsidR="00363931">
        <w:rPr>
          <w:rFonts w:ascii="Times New Roman" w:eastAsiaTheme="minorHAnsi" w:hAnsi="Times New Roman"/>
          <w:sz w:val="24"/>
          <w:szCs w:val="24"/>
          <w:lang w:val="en-US"/>
        </w:rPr>
        <w:t xml:space="preserve"> të </w:t>
      </w:r>
      <w:proofErr w:type="spellStart"/>
      <w:r w:rsidR="00363931">
        <w:rPr>
          <w:rFonts w:ascii="Times New Roman" w:eastAsiaTheme="minorHAnsi" w:hAnsi="Times New Roman"/>
          <w:sz w:val="24"/>
          <w:szCs w:val="24"/>
          <w:lang w:val="en-US"/>
        </w:rPr>
        <w:t>Komisionerit</w:t>
      </w:r>
      <w:proofErr w:type="spellEnd"/>
      <w:r w:rsidR="00363931">
        <w:rPr>
          <w:rFonts w:ascii="Times New Roman" w:eastAsiaTheme="minorHAnsi" w:hAnsi="Times New Roman"/>
          <w:sz w:val="24"/>
          <w:szCs w:val="24"/>
          <w:lang w:val="en-US"/>
        </w:rPr>
        <w:t xml:space="preserve"> </w:t>
      </w:r>
      <w:r w:rsidR="00B41105">
        <w:rPr>
          <w:rFonts w:ascii="Times New Roman" w:eastAsiaTheme="minorHAnsi" w:hAnsi="Times New Roman"/>
          <w:sz w:val="24"/>
          <w:szCs w:val="24"/>
          <w:lang w:val="en-US"/>
        </w:rPr>
        <w:t xml:space="preserve">për </w:t>
      </w:r>
      <w:proofErr w:type="spellStart"/>
      <w:r w:rsidR="00363931">
        <w:rPr>
          <w:rFonts w:ascii="Times New Roman" w:eastAsiaTheme="minorHAnsi" w:hAnsi="Times New Roman"/>
          <w:sz w:val="24"/>
          <w:szCs w:val="24"/>
          <w:lang w:val="en-US"/>
        </w:rPr>
        <w:t>mbrojtjen</w:t>
      </w:r>
      <w:proofErr w:type="spellEnd"/>
      <w:r w:rsidR="00363931">
        <w:rPr>
          <w:rFonts w:ascii="Times New Roman" w:eastAsiaTheme="minorHAnsi" w:hAnsi="Times New Roman"/>
          <w:sz w:val="24"/>
          <w:szCs w:val="24"/>
          <w:lang w:val="en-US"/>
        </w:rPr>
        <w:t xml:space="preserve"> e të </w:t>
      </w:r>
      <w:proofErr w:type="spellStart"/>
      <w:r w:rsidR="00363931">
        <w:rPr>
          <w:rFonts w:ascii="Times New Roman" w:eastAsiaTheme="minorHAnsi" w:hAnsi="Times New Roman"/>
          <w:sz w:val="24"/>
          <w:szCs w:val="24"/>
          <w:lang w:val="en-US"/>
        </w:rPr>
        <w:t>dhënave</w:t>
      </w:r>
      <w:proofErr w:type="spellEnd"/>
      <w:r w:rsidR="00363931">
        <w:rPr>
          <w:rFonts w:ascii="Times New Roman" w:eastAsiaTheme="minorHAnsi" w:hAnsi="Times New Roman"/>
          <w:sz w:val="24"/>
          <w:szCs w:val="24"/>
          <w:lang w:val="en-US"/>
        </w:rPr>
        <w:t xml:space="preserve"> të </w:t>
      </w:r>
      <w:proofErr w:type="spellStart"/>
      <w:r w:rsidRPr="0050721B">
        <w:rPr>
          <w:rFonts w:ascii="Times New Roman" w:eastAsiaTheme="minorHAnsi" w:hAnsi="Times New Roman"/>
          <w:sz w:val="24"/>
          <w:szCs w:val="24"/>
          <w:lang w:val="en-US"/>
        </w:rPr>
        <w:t>zbatuara</w:t>
      </w:r>
      <w:proofErr w:type="spellEnd"/>
      <w:r w:rsidRPr="0050721B">
        <w:rPr>
          <w:rFonts w:ascii="Times New Roman" w:eastAsiaTheme="minorHAnsi" w:hAnsi="Times New Roman"/>
          <w:sz w:val="24"/>
          <w:szCs w:val="24"/>
          <w:lang w:val="en-US"/>
        </w:rPr>
        <w:t xml:space="preserve">, </w:t>
      </w:r>
      <w:proofErr w:type="spellStart"/>
      <w:r w:rsidR="00363931">
        <w:rPr>
          <w:rFonts w:ascii="Times New Roman" w:eastAsiaTheme="minorHAnsi" w:hAnsi="Times New Roman"/>
          <w:sz w:val="24"/>
          <w:szCs w:val="24"/>
          <w:lang w:val="en-US"/>
        </w:rPr>
        <w:t>në</w:t>
      </w:r>
      <w:proofErr w:type="spellEnd"/>
      <w:r w:rsidR="00363931">
        <w:rPr>
          <w:rFonts w:ascii="Times New Roman" w:eastAsiaTheme="minorHAnsi" w:hAnsi="Times New Roman"/>
          <w:sz w:val="24"/>
          <w:szCs w:val="24"/>
          <w:lang w:val="en-US"/>
        </w:rPr>
        <w:t xml:space="preserve"> </w:t>
      </w:r>
      <w:proofErr w:type="spellStart"/>
      <w:r w:rsidR="00363931">
        <w:rPr>
          <w:rFonts w:ascii="Times New Roman" w:eastAsiaTheme="minorHAnsi" w:hAnsi="Times New Roman"/>
          <w:sz w:val="24"/>
          <w:szCs w:val="24"/>
          <w:lang w:val="en-US"/>
        </w:rPr>
        <w:t>raport</w:t>
      </w:r>
      <w:proofErr w:type="spellEnd"/>
      <w:r w:rsidR="00363931">
        <w:rPr>
          <w:rFonts w:ascii="Times New Roman" w:eastAsiaTheme="minorHAnsi" w:hAnsi="Times New Roman"/>
          <w:sz w:val="24"/>
          <w:szCs w:val="24"/>
          <w:lang w:val="en-US"/>
        </w:rPr>
        <w:t xml:space="preserve"> me </w:t>
      </w:r>
      <w:proofErr w:type="spellStart"/>
      <w:r w:rsidR="00363931">
        <w:rPr>
          <w:rFonts w:ascii="Times New Roman" w:eastAsiaTheme="minorHAnsi" w:hAnsi="Times New Roman"/>
          <w:sz w:val="24"/>
          <w:szCs w:val="24"/>
          <w:lang w:val="en-US"/>
        </w:rPr>
        <w:t>totalin</w:t>
      </w:r>
      <w:proofErr w:type="spellEnd"/>
    </w:p>
    <w:p w:rsidR="008C1FBE" w:rsidRPr="0050721B" w:rsidRDefault="00E1291B" w:rsidP="00363931">
      <w:pPr>
        <w:pStyle w:val="ListParagraph"/>
        <w:numPr>
          <w:ilvl w:val="0"/>
          <w:numId w:val="34"/>
        </w:numPr>
        <w:autoSpaceDE w:val="0"/>
        <w:autoSpaceDN w:val="0"/>
        <w:adjustRightInd w:val="0"/>
        <w:jc w:val="both"/>
        <w:rPr>
          <w:rFonts w:ascii="Times New Roman" w:eastAsiaTheme="minorHAnsi" w:hAnsi="Times New Roman"/>
          <w:sz w:val="24"/>
          <w:szCs w:val="24"/>
          <w:lang w:val="en-US"/>
        </w:rPr>
      </w:pPr>
      <w:r w:rsidRPr="0050721B">
        <w:rPr>
          <w:rFonts w:ascii="Times New Roman" w:eastAsiaTheme="minorHAnsi" w:hAnsi="Times New Roman"/>
          <w:sz w:val="24"/>
          <w:szCs w:val="24"/>
          <w:lang w:val="en-US"/>
        </w:rPr>
        <w:t>Përqindja e grave në poste drejtuese në raport me totalin e posteve drejtuese në shërbimin civil në KDIMDP.</w:t>
      </w:r>
    </w:p>
    <w:p w:rsidR="008C1FBE" w:rsidRPr="0050721B" w:rsidRDefault="008C1FBE" w:rsidP="0050721B">
      <w:pPr>
        <w:pStyle w:val="ListParagraph"/>
        <w:autoSpaceDE w:val="0"/>
        <w:autoSpaceDN w:val="0"/>
        <w:adjustRightInd w:val="0"/>
        <w:rPr>
          <w:rFonts w:ascii="Times New Roman" w:eastAsiaTheme="minorHAnsi" w:hAnsi="Times New Roman"/>
          <w:sz w:val="24"/>
          <w:szCs w:val="24"/>
          <w:lang w:val="en-US"/>
        </w:rPr>
      </w:pPr>
    </w:p>
    <w:p w:rsidR="008C1FBE" w:rsidRPr="00B41105" w:rsidRDefault="008C1FBE" w:rsidP="00B41105">
      <w:pPr>
        <w:pStyle w:val="ListParagraph"/>
        <w:numPr>
          <w:ilvl w:val="0"/>
          <w:numId w:val="42"/>
        </w:numPr>
        <w:rPr>
          <w:rFonts w:ascii="Times New Roman" w:hAnsi="Times New Roman"/>
          <w:b/>
          <w:sz w:val="24"/>
          <w:szCs w:val="24"/>
        </w:rPr>
      </w:pPr>
      <w:r w:rsidRPr="0050721B">
        <w:rPr>
          <w:rFonts w:ascii="Times New Roman" w:hAnsi="Times New Roman"/>
          <w:b/>
          <w:sz w:val="24"/>
          <w:szCs w:val="24"/>
        </w:rPr>
        <w:t xml:space="preserve">METODOLOGJIA E RAPORTIMIT </w:t>
      </w:r>
    </w:p>
    <w:p w:rsidR="008C1FBE" w:rsidRPr="0050721B" w:rsidRDefault="008C1FBE" w:rsidP="0050721B">
      <w:pPr>
        <w:spacing w:line="276" w:lineRule="auto"/>
        <w:jc w:val="both"/>
      </w:pPr>
      <w:r w:rsidRPr="0050721B">
        <w:t>Monitorimi është kryer mbi bazën e treguesve të përcaktuar në planin e performancës, duke përfshirë treguesit sasiorë dhe cilësorë. Janë përdorur formatet e raportimit periodik nga strukturat duke zhvilluar analiza krahasuese me periudhat e mëparshme për të vlerësuar progresin.</w:t>
      </w:r>
    </w:p>
    <w:p w:rsidR="0086445A" w:rsidRPr="0050721B" w:rsidRDefault="0086445A" w:rsidP="0050721B">
      <w:pPr>
        <w:autoSpaceDE w:val="0"/>
        <w:autoSpaceDN w:val="0"/>
        <w:adjustRightInd w:val="0"/>
        <w:spacing w:line="276" w:lineRule="auto"/>
        <w:rPr>
          <w:rFonts w:eastAsiaTheme="minorHAnsi"/>
          <w:lang w:val="en-US" w:eastAsia="en-US"/>
        </w:rPr>
      </w:pPr>
    </w:p>
    <w:p w:rsidR="0086445A" w:rsidRPr="0050721B" w:rsidRDefault="0086445A" w:rsidP="0050721B">
      <w:pPr>
        <w:autoSpaceDE w:val="0"/>
        <w:autoSpaceDN w:val="0"/>
        <w:adjustRightInd w:val="0"/>
        <w:spacing w:line="276" w:lineRule="auto"/>
        <w:jc w:val="both"/>
        <w:rPr>
          <w:rFonts w:eastAsiaTheme="minorHAnsi"/>
          <w:lang w:val="en-US" w:eastAsia="en-US"/>
        </w:rPr>
      </w:pPr>
      <w:r w:rsidRPr="0050721B">
        <w:rPr>
          <w:rFonts w:eastAsiaTheme="minorHAnsi"/>
          <w:lang w:val="en-US" w:eastAsia="en-US"/>
        </w:rPr>
        <w:t xml:space="preserve">Me </w:t>
      </w:r>
      <w:proofErr w:type="spellStart"/>
      <w:r w:rsidRPr="0050721B">
        <w:rPr>
          <w:rFonts w:eastAsiaTheme="minorHAnsi"/>
          <w:lang w:val="en-US" w:eastAsia="en-US"/>
        </w:rPr>
        <w:t>Ligjin</w:t>
      </w:r>
      <w:proofErr w:type="spellEnd"/>
      <w:r w:rsidRPr="0050721B">
        <w:rPr>
          <w:rFonts w:eastAsiaTheme="minorHAnsi"/>
          <w:lang w:val="en-US" w:eastAsia="en-US"/>
        </w:rPr>
        <w:t xml:space="preserve"> nr.115/2024 “Për </w:t>
      </w:r>
      <w:proofErr w:type="spellStart"/>
      <w:r w:rsidRPr="0050721B">
        <w:rPr>
          <w:rFonts w:eastAsiaTheme="minorHAnsi"/>
          <w:lang w:val="en-US" w:eastAsia="en-US"/>
        </w:rPr>
        <w:t>Buxhetin</w:t>
      </w:r>
      <w:proofErr w:type="spellEnd"/>
      <w:r w:rsidRPr="0050721B">
        <w:rPr>
          <w:rFonts w:eastAsiaTheme="minorHAnsi"/>
          <w:lang w:val="en-US" w:eastAsia="en-US"/>
        </w:rPr>
        <w:t xml:space="preserve"> e </w:t>
      </w:r>
      <w:proofErr w:type="spellStart"/>
      <w:r w:rsidRPr="0050721B">
        <w:rPr>
          <w:rFonts w:eastAsiaTheme="minorHAnsi"/>
          <w:lang w:val="en-US" w:eastAsia="en-US"/>
        </w:rPr>
        <w:t>vitit</w:t>
      </w:r>
      <w:proofErr w:type="spellEnd"/>
      <w:r w:rsidRPr="0050721B">
        <w:rPr>
          <w:rFonts w:eastAsiaTheme="minorHAnsi"/>
          <w:lang w:val="en-US" w:eastAsia="en-US"/>
        </w:rPr>
        <w:t xml:space="preserve"> 2025”</w:t>
      </w:r>
      <w:r w:rsidR="00A312BA" w:rsidRPr="0050721B">
        <w:rPr>
          <w:rFonts w:eastAsiaTheme="minorHAnsi"/>
          <w:lang w:val="en-US" w:eastAsia="en-US"/>
        </w:rPr>
        <w:t xml:space="preserve">, </w:t>
      </w:r>
      <w:proofErr w:type="spellStart"/>
      <w:r w:rsidRPr="0050721B">
        <w:rPr>
          <w:rFonts w:eastAsiaTheme="minorHAnsi"/>
          <w:lang w:val="en-US" w:eastAsia="en-US"/>
        </w:rPr>
        <w:t>është</w:t>
      </w:r>
      <w:proofErr w:type="spellEnd"/>
      <w:r w:rsidRPr="0050721B">
        <w:rPr>
          <w:rFonts w:eastAsiaTheme="minorHAnsi"/>
          <w:lang w:val="en-US" w:eastAsia="en-US"/>
        </w:rPr>
        <w:t xml:space="preserve"> </w:t>
      </w:r>
      <w:proofErr w:type="spellStart"/>
      <w:r w:rsidRPr="0050721B">
        <w:rPr>
          <w:rFonts w:eastAsiaTheme="minorHAnsi"/>
          <w:lang w:val="en-US" w:eastAsia="en-US"/>
        </w:rPr>
        <w:t>miratuar</w:t>
      </w:r>
      <w:proofErr w:type="spellEnd"/>
      <w:r w:rsidRPr="0050721B">
        <w:rPr>
          <w:rFonts w:eastAsiaTheme="minorHAnsi"/>
          <w:lang w:val="en-US" w:eastAsia="en-US"/>
        </w:rPr>
        <w:t xml:space="preserve"> </w:t>
      </w:r>
      <w:proofErr w:type="spellStart"/>
      <w:r w:rsidRPr="0050721B">
        <w:rPr>
          <w:rFonts w:eastAsiaTheme="minorHAnsi"/>
          <w:lang w:val="en-US" w:eastAsia="en-US"/>
        </w:rPr>
        <w:t>buxheti</w:t>
      </w:r>
      <w:proofErr w:type="spellEnd"/>
      <w:r w:rsidRPr="0050721B">
        <w:rPr>
          <w:rFonts w:eastAsiaTheme="minorHAnsi"/>
          <w:lang w:val="en-US" w:eastAsia="en-US"/>
        </w:rPr>
        <w:t xml:space="preserve"> </w:t>
      </w:r>
      <w:proofErr w:type="spellStart"/>
      <w:r w:rsidRPr="0050721B">
        <w:rPr>
          <w:rFonts w:eastAsiaTheme="minorHAnsi"/>
          <w:lang w:val="en-US" w:eastAsia="en-US"/>
        </w:rPr>
        <w:t>i</w:t>
      </w:r>
      <w:proofErr w:type="spellEnd"/>
      <w:r w:rsidRPr="0050721B">
        <w:rPr>
          <w:rFonts w:eastAsiaTheme="minorHAnsi"/>
          <w:lang w:val="en-US" w:eastAsia="en-US"/>
        </w:rPr>
        <w:t xml:space="preserve"> </w:t>
      </w:r>
      <w:proofErr w:type="spellStart"/>
      <w:r w:rsidRPr="0050721B">
        <w:rPr>
          <w:rFonts w:eastAsiaTheme="minorHAnsi"/>
          <w:lang w:val="en-US" w:eastAsia="en-US"/>
        </w:rPr>
        <w:t>shtetit</w:t>
      </w:r>
      <w:proofErr w:type="spellEnd"/>
      <w:r w:rsidRPr="0050721B">
        <w:rPr>
          <w:rFonts w:eastAsiaTheme="minorHAnsi"/>
          <w:lang w:val="en-US" w:eastAsia="en-US"/>
        </w:rPr>
        <w:t xml:space="preserve"> për </w:t>
      </w:r>
      <w:proofErr w:type="spellStart"/>
      <w:r w:rsidRPr="0050721B">
        <w:rPr>
          <w:rFonts w:eastAsiaTheme="minorHAnsi"/>
          <w:lang w:val="en-US" w:eastAsia="en-US"/>
        </w:rPr>
        <w:t>vitin</w:t>
      </w:r>
      <w:proofErr w:type="spellEnd"/>
      <w:r w:rsidRPr="0050721B">
        <w:rPr>
          <w:rFonts w:eastAsiaTheme="minorHAnsi"/>
          <w:lang w:val="en-US" w:eastAsia="en-US"/>
        </w:rPr>
        <w:t xml:space="preserve"> 2025, pjesë e së cilës është edhe buxheti për grupin buxhetor (89) Komisioneri p</w:t>
      </w:r>
      <w:r w:rsidR="008E6528" w:rsidRPr="0050721B">
        <w:rPr>
          <w:rFonts w:eastAsiaTheme="minorHAnsi"/>
          <w:lang w:val="en-US" w:eastAsia="en-US"/>
        </w:rPr>
        <w:t>ë</w:t>
      </w:r>
      <w:r w:rsidRPr="0050721B">
        <w:rPr>
          <w:rFonts w:eastAsiaTheme="minorHAnsi"/>
          <w:lang w:val="en-US" w:eastAsia="en-US"/>
        </w:rPr>
        <w:t>r t</w:t>
      </w:r>
      <w:r w:rsidR="008E6528" w:rsidRPr="0050721B">
        <w:rPr>
          <w:rFonts w:eastAsiaTheme="minorHAnsi"/>
          <w:lang w:val="en-US" w:eastAsia="en-US"/>
        </w:rPr>
        <w:t>ë</w:t>
      </w:r>
      <w:r w:rsidRPr="0050721B">
        <w:rPr>
          <w:rFonts w:eastAsiaTheme="minorHAnsi"/>
          <w:lang w:val="en-US" w:eastAsia="en-US"/>
        </w:rPr>
        <w:t xml:space="preserve"> Drejt</w:t>
      </w:r>
      <w:r w:rsidR="008E6528" w:rsidRPr="0050721B">
        <w:rPr>
          <w:rFonts w:eastAsiaTheme="minorHAnsi"/>
          <w:lang w:val="en-US" w:eastAsia="en-US"/>
        </w:rPr>
        <w:t>ë</w:t>
      </w:r>
      <w:r w:rsidRPr="0050721B">
        <w:rPr>
          <w:rFonts w:eastAsiaTheme="minorHAnsi"/>
          <w:lang w:val="en-US" w:eastAsia="en-US"/>
        </w:rPr>
        <w:t>n e Informimit dhe Mbrojtjen e t</w:t>
      </w:r>
      <w:r w:rsidR="008E6528" w:rsidRPr="0050721B">
        <w:rPr>
          <w:rFonts w:eastAsiaTheme="minorHAnsi"/>
          <w:lang w:val="en-US" w:eastAsia="en-US"/>
        </w:rPr>
        <w:t>ë</w:t>
      </w:r>
      <w:r w:rsidRPr="0050721B">
        <w:rPr>
          <w:rFonts w:eastAsiaTheme="minorHAnsi"/>
          <w:lang w:val="en-US" w:eastAsia="en-US"/>
        </w:rPr>
        <w:t xml:space="preserve"> Dh</w:t>
      </w:r>
      <w:r w:rsidR="008E6528" w:rsidRPr="0050721B">
        <w:rPr>
          <w:rFonts w:eastAsiaTheme="minorHAnsi"/>
          <w:lang w:val="en-US" w:eastAsia="en-US"/>
        </w:rPr>
        <w:t>ë</w:t>
      </w:r>
      <w:r w:rsidRPr="0050721B">
        <w:rPr>
          <w:rFonts w:eastAsiaTheme="minorHAnsi"/>
          <w:lang w:val="en-US" w:eastAsia="en-US"/>
        </w:rPr>
        <w:t>nave personale</w:t>
      </w:r>
      <w:r w:rsidR="008E6528" w:rsidRPr="0050721B">
        <w:rPr>
          <w:rFonts w:eastAsiaTheme="minorHAnsi"/>
          <w:lang w:val="en-US" w:eastAsia="en-US"/>
        </w:rPr>
        <w:t>.</w:t>
      </w:r>
      <w:r w:rsidRPr="0050721B">
        <w:rPr>
          <w:rFonts w:eastAsiaTheme="minorHAnsi"/>
          <w:lang w:val="en-US" w:eastAsia="en-US"/>
        </w:rPr>
        <w:t xml:space="preserve"> Fondet buxhetore të këtij grupi </w:t>
      </w:r>
      <w:proofErr w:type="spellStart"/>
      <w:r w:rsidRPr="0050721B">
        <w:rPr>
          <w:rFonts w:eastAsiaTheme="minorHAnsi"/>
          <w:lang w:val="en-US" w:eastAsia="en-US"/>
        </w:rPr>
        <w:t>janë</w:t>
      </w:r>
      <w:proofErr w:type="spellEnd"/>
      <w:r w:rsidRPr="0050721B">
        <w:rPr>
          <w:rFonts w:eastAsiaTheme="minorHAnsi"/>
          <w:lang w:val="en-US" w:eastAsia="en-US"/>
        </w:rPr>
        <w:t xml:space="preserve"> </w:t>
      </w:r>
      <w:proofErr w:type="spellStart"/>
      <w:r w:rsidRPr="0050721B">
        <w:rPr>
          <w:rFonts w:eastAsiaTheme="minorHAnsi"/>
          <w:lang w:val="en-US" w:eastAsia="en-US"/>
        </w:rPr>
        <w:t>miratuar</w:t>
      </w:r>
      <w:proofErr w:type="spellEnd"/>
      <w:r w:rsidRPr="0050721B">
        <w:rPr>
          <w:rFonts w:eastAsiaTheme="minorHAnsi"/>
          <w:lang w:val="en-US" w:eastAsia="en-US"/>
        </w:rPr>
        <w:t xml:space="preserve"> për </w:t>
      </w:r>
      <w:proofErr w:type="spellStart"/>
      <w:r w:rsidRPr="0050721B">
        <w:rPr>
          <w:rFonts w:eastAsiaTheme="minorHAnsi"/>
          <w:lang w:val="en-US" w:eastAsia="en-US"/>
        </w:rPr>
        <w:t>Programin</w:t>
      </w:r>
      <w:proofErr w:type="spellEnd"/>
      <w:r w:rsidRPr="0050721B">
        <w:rPr>
          <w:rFonts w:eastAsiaTheme="minorHAnsi"/>
          <w:lang w:val="en-US" w:eastAsia="en-US"/>
        </w:rPr>
        <w:t xml:space="preserve"> 01110 “</w:t>
      </w:r>
      <w:proofErr w:type="spellStart"/>
      <w:r w:rsidRPr="0050721B">
        <w:rPr>
          <w:rFonts w:eastAsiaTheme="minorHAnsi"/>
          <w:lang w:val="en-US" w:eastAsia="en-US"/>
        </w:rPr>
        <w:t>Planifikim</w:t>
      </w:r>
      <w:proofErr w:type="spellEnd"/>
      <w:r w:rsidRPr="0050721B">
        <w:rPr>
          <w:rFonts w:eastAsiaTheme="minorHAnsi"/>
          <w:lang w:val="en-US" w:eastAsia="en-US"/>
        </w:rPr>
        <w:t xml:space="preserve">, </w:t>
      </w:r>
      <w:proofErr w:type="spellStart"/>
      <w:r w:rsidRPr="0050721B">
        <w:rPr>
          <w:rFonts w:eastAsiaTheme="minorHAnsi"/>
          <w:lang w:val="en-US" w:eastAsia="en-US"/>
        </w:rPr>
        <w:t>menaxhim</w:t>
      </w:r>
      <w:proofErr w:type="spellEnd"/>
      <w:r w:rsidRPr="0050721B">
        <w:rPr>
          <w:rFonts w:eastAsiaTheme="minorHAnsi"/>
          <w:lang w:val="en-US" w:eastAsia="en-US"/>
        </w:rPr>
        <w:t xml:space="preserve"> dhe </w:t>
      </w:r>
      <w:proofErr w:type="spellStart"/>
      <w:r w:rsidRPr="0050721B">
        <w:rPr>
          <w:rFonts w:eastAsiaTheme="minorHAnsi"/>
          <w:lang w:val="en-US" w:eastAsia="en-US"/>
        </w:rPr>
        <w:t>administrim</w:t>
      </w:r>
      <w:proofErr w:type="spellEnd"/>
      <w:r w:rsidRPr="0050721B">
        <w:rPr>
          <w:rFonts w:eastAsiaTheme="minorHAnsi"/>
          <w:lang w:val="en-US" w:eastAsia="en-US"/>
        </w:rPr>
        <w:t>”</w:t>
      </w:r>
      <w:r w:rsidR="008E6528" w:rsidRPr="0050721B">
        <w:rPr>
          <w:rFonts w:eastAsiaTheme="minorHAnsi"/>
          <w:lang w:val="en-US" w:eastAsia="en-US"/>
        </w:rPr>
        <w:t xml:space="preserve">, </w:t>
      </w:r>
      <w:proofErr w:type="spellStart"/>
      <w:r w:rsidRPr="0050721B">
        <w:rPr>
          <w:rFonts w:eastAsiaTheme="minorHAnsi"/>
          <w:lang w:val="en-US" w:eastAsia="en-US"/>
        </w:rPr>
        <w:t>i</w:t>
      </w:r>
      <w:proofErr w:type="spellEnd"/>
      <w:r w:rsidRPr="0050721B">
        <w:rPr>
          <w:rFonts w:eastAsiaTheme="minorHAnsi"/>
          <w:lang w:val="en-US" w:eastAsia="en-US"/>
        </w:rPr>
        <w:t xml:space="preserve"> </w:t>
      </w:r>
      <w:proofErr w:type="spellStart"/>
      <w:r w:rsidRPr="0050721B">
        <w:rPr>
          <w:rFonts w:eastAsiaTheme="minorHAnsi"/>
          <w:lang w:val="en-US" w:eastAsia="en-US"/>
        </w:rPr>
        <w:t>cili</w:t>
      </w:r>
      <w:proofErr w:type="spellEnd"/>
      <w:r w:rsidRPr="0050721B">
        <w:rPr>
          <w:rFonts w:eastAsiaTheme="minorHAnsi"/>
          <w:lang w:val="en-US" w:eastAsia="en-US"/>
        </w:rPr>
        <w:t xml:space="preserve"> </w:t>
      </w:r>
      <w:proofErr w:type="spellStart"/>
      <w:r w:rsidRPr="0050721B">
        <w:rPr>
          <w:rFonts w:eastAsiaTheme="minorHAnsi"/>
          <w:lang w:val="en-US" w:eastAsia="en-US"/>
        </w:rPr>
        <w:t>përfshin</w:t>
      </w:r>
      <w:proofErr w:type="spellEnd"/>
      <w:r w:rsidRPr="0050721B">
        <w:rPr>
          <w:rFonts w:eastAsiaTheme="minorHAnsi"/>
          <w:lang w:val="en-US" w:eastAsia="en-US"/>
        </w:rPr>
        <w:t xml:space="preserve"> </w:t>
      </w:r>
      <w:proofErr w:type="spellStart"/>
      <w:r w:rsidRPr="0050721B">
        <w:rPr>
          <w:rFonts w:eastAsiaTheme="minorHAnsi"/>
          <w:lang w:val="en-US" w:eastAsia="en-US"/>
        </w:rPr>
        <w:t>fondet</w:t>
      </w:r>
      <w:proofErr w:type="spellEnd"/>
      <w:r w:rsidRPr="0050721B">
        <w:rPr>
          <w:rFonts w:eastAsiaTheme="minorHAnsi"/>
          <w:lang w:val="en-US" w:eastAsia="en-US"/>
        </w:rPr>
        <w:t xml:space="preserve"> për </w:t>
      </w:r>
      <w:proofErr w:type="spellStart"/>
      <w:r w:rsidRPr="0050721B">
        <w:rPr>
          <w:rFonts w:eastAsiaTheme="minorHAnsi"/>
          <w:lang w:val="en-US" w:eastAsia="en-US"/>
        </w:rPr>
        <w:t>funksionimin</w:t>
      </w:r>
      <w:proofErr w:type="spellEnd"/>
      <w:r w:rsidRPr="0050721B">
        <w:rPr>
          <w:rFonts w:eastAsiaTheme="minorHAnsi"/>
          <w:lang w:val="en-US" w:eastAsia="en-US"/>
        </w:rPr>
        <w:t xml:space="preserve"> e </w:t>
      </w:r>
      <w:proofErr w:type="spellStart"/>
      <w:r w:rsidR="004543DF" w:rsidRPr="0050721B">
        <w:rPr>
          <w:rFonts w:eastAsiaTheme="minorHAnsi"/>
          <w:lang w:val="en-US" w:eastAsia="en-US"/>
        </w:rPr>
        <w:t>veprimtarisë</w:t>
      </w:r>
      <w:proofErr w:type="spellEnd"/>
      <w:r w:rsidR="004543DF" w:rsidRPr="0050721B">
        <w:rPr>
          <w:rFonts w:eastAsiaTheme="minorHAnsi"/>
          <w:lang w:val="en-US" w:eastAsia="en-US"/>
        </w:rPr>
        <w:t xml:space="preserve"> </w:t>
      </w:r>
      <w:proofErr w:type="spellStart"/>
      <w:r w:rsidR="004543DF" w:rsidRPr="0050721B">
        <w:rPr>
          <w:rFonts w:eastAsiaTheme="minorHAnsi"/>
          <w:lang w:val="en-US" w:eastAsia="en-US"/>
        </w:rPr>
        <w:t>së</w:t>
      </w:r>
      <w:proofErr w:type="spellEnd"/>
      <w:r w:rsidR="004543DF" w:rsidRPr="0050721B">
        <w:rPr>
          <w:rFonts w:eastAsiaTheme="minorHAnsi"/>
          <w:lang w:val="en-US" w:eastAsia="en-US"/>
        </w:rPr>
        <w:t xml:space="preserve"> </w:t>
      </w:r>
      <w:proofErr w:type="spellStart"/>
      <w:r w:rsidR="004543DF" w:rsidRPr="0050721B">
        <w:rPr>
          <w:rFonts w:eastAsiaTheme="minorHAnsi"/>
          <w:lang w:val="en-US" w:eastAsia="en-US"/>
        </w:rPr>
        <w:t>kësaj</w:t>
      </w:r>
      <w:proofErr w:type="spellEnd"/>
      <w:r w:rsidR="004543DF" w:rsidRPr="0050721B">
        <w:rPr>
          <w:rFonts w:eastAsiaTheme="minorHAnsi"/>
          <w:lang w:val="en-US" w:eastAsia="en-US"/>
        </w:rPr>
        <w:t xml:space="preserve"> </w:t>
      </w:r>
      <w:proofErr w:type="spellStart"/>
      <w:r w:rsidR="004543DF" w:rsidRPr="0050721B">
        <w:rPr>
          <w:rFonts w:eastAsiaTheme="minorHAnsi"/>
          <w:lang w:val="en-US" w:eastAsia="en-US"/>
        </w:rPr>
        <w:t>Zyre</w:t>
      </w:r>
      <w:proofErr w:type="spellEnd"/>
      <w:r w:rsidR="00363931">
        <w:rPr>
          <w:rFonts w:eastAsiaTheme="minorHAnsi"/>
          <w:lang w:val="en-US" w:eastAsia="en-US"/>
        </w:rPr>
        <w:t>.</w:t>
      </w:r>
      <w:r w:rsidR="004543DF" w:rsidRPr="0050721B">
        <w:rPr>
          <w:rFonts w:eastAsiaTheme="minorHAnsi"/>
          <w:lang w:val="en-US" w:eastAsia="en-US"/>
        </w:rPr>
        <w:t xml:space="preserve"> </w:t>
      </w:r>
    </w:p>
    <w:p w:rsidR="00E16DF6" w:rsidRDefault="00E16DF6" w:rsidP="0050721B">
      <w:pPr>
        <w:autoSpaceDE w:val="0"/>
        <w:autoSpaceDN w:val="0"/>
        <w:adjustRightInd w:val="0"/>
        <w:spacing w:line="276" w:lineRule="auto"/>
        <w:jc w:val="both"/>
        <w:rPr>
          <w:rFonts w:eastAsiaTheme="minorHAnsi"/>
          <w:lang w:val="en-US" w:eastAsia="en-US"/>
        </w:rPr>
      </w:pPr>
    </w:p>
    <w:p w:rsidR="00363931" w:rsidRPr="00E76D5D" w:rsidRDefault="00363931" w:rsidP="0050721B">
      <w:pPr>
        <w:autoSpaceDE w:val="0"/>
        <w:autoSpaceDN w:val="0"/>
        <w:adjustRightInd w:val="0"/>
        <w:spacing w:line="276" w:lineRule="auto"/>
        <w:jc w:val="both"/>
        <w:rPr>
          <w:rFonts w:eastAsiaTheme="minorHAnsi"/>
          <w:sz w:val="2"/>
          <w:lang w:val="en-US" w:eastAsia="en-US"/>
        </w:rPr>
      </w:pPr>
    </w:p>
    <w:p w:rsidR="000B78A2" w:rsidRPr="0050721B" w:rsidRDefault="000B78A2" w:rsidP="0050721B">
      <w:pPr>
        <w:pStyle w:val="ListParagraph"/>
        <w:numPr>
          <w:ilvl w:val="0"/>
          <w:numId w:val="30"/>
        </w:numPr>
        <w:jc w:val="both"/>
        <w:rPr>
          <w:rFonts w:ascii="Times New Roman" w:eastAsiaTheme="minorHAnsi" w:hAnsi="Times New Roman"/>
          <w:b/>
          <w:bCs/>
          <w:sz w:val="24"/>
          <w:szCs w:val="24"/>
          <w:lang w:val="en-US"/>
        </w:rPr>
      </w:pPr>
      <w:r w:rsidRPr="0050721B">
        <w:rPr>
          <w:rFonts w:ascii="Times New Roman" w:eastAsiaTheme="minorHAnsi" w:hAnsi="Times New Roman"/>
          <w:b/>
          <w:bCs/>
          <w:sz w:val="24"/>
          <w:szCs w:val="24"/>
          <w:lang w:val="en-US"/>
        </w:rPr>
        <w:t>Programi - “Menaxhim, Administrim, Planifikim”</w:t>
      </w:r>
    </w:p>
    <w:p w:rsidR="00A312BA" w:rsidRPr="0050721B" w:rsidRDefault="000B78A2" w:rsidP="0050721B">
      <w:pPr>
        <w:spacing w:line="276" w:lineRule="auto"/>
        <w:jc w:val="both"/>
      </w:pPr>
      <w:r w:rsidRPr="0050721B">
        <w:t>Qëllimi</w:t>
      </w:r>
      <w:r w:rsidR="00363931">
        <w:t xml:space="preserve"> kryesor i këtij programi është</w:t>
      </w:r>
      <w:r w:rsidRPr="0050721B">
        <w:t xml:space="preserve"> të nxisë përputhshmërinë e sektorit publik dhe privat me mbrojtjen e të dhënave personale dhe të drejtën e informimit, garantimi i zbatimit </w:t>
      </w:r>
      <w:r w:rsidR="00363931">
        <w:t xml:space="preserve">të së drejtës për informim dhe </w:t>
      </w:r>
      <w:r w:rsidRPr="0050721B">
        <w:t>mbrojtjes së të dhënave persona</w:t>
      </w:r>
      <w:r w:rsidR="00363931">
        <w:t xml:space="preserve">le dhe ruajtjen e privatësisë, </w:t>
      </w:r>
      <w:r w:rsidRPr="0050721B">
        <w:t>nëpërmjet</w:t>
      </w:r>
      <w:r w:rsidR="00A312BA" w:rsidRPr="0050721B">
        <w:t>:</w:t>
      </w:r>
    </w:p>
    <w:p w:rsidR="00A312BA" w:rsidRPr="0050721B" w:rsidRDefault="00A312BA" w:rsidP="0050721B">
      <w:pPr>
        <w:spacing w:line="276" w:lineRule="auto"/>
        <w:jc w:val="both"/>
      </w:pPr>
    </w:p>
    <w:p w:rsidR="000B78A2" w:rsidRPr="0050721B" w:rsidRDefault="000B78A2" w:rsidP="0050721B">
      <w:pPr>
        <w:pStyle w:val="ListParagraph"/>
        <w:numPr>
          <w:ilvl w:val="0"/>
          <w:numId w:val="35"/>
        </w:numPr>
        <w:jc w:val="both"/>
        <w:rPr>
          <w:rFonts w:ascii="Times New Roman" w:hAnsi="Times New Roman"/>
          <w:sz w:val="24"/>
          <w:szCs w:val="24"/>
        </w:rPr>
      </w:pPr>
      <w:r w:rsidRPr="0050721B">
        <w:rPr>
          <w:rFonts w:ascii="Times New Roman" w:hAnsi="Times New Roman"/>
          <w:sz w:val="24"/>
          <w:szCs w:val="24"/>
        </w:rPr>
        <w:lastRenderedPageBreak/>
        <w:t>monitorimit të punës së autoriteteve publike gjatë zbat</w:t>
      </w:r>
      <w:r w:rsidR="00363931">
        <w:rPr>
          <w:rFonts w:ascii="Times New Roman" w:hAnsi="Times New Roman"/>
          <w:sz w:val="24"/>
          <w:szCs w:val="24"/>
        </w:rPr>
        <w:t>imit të ligjit për të drejtën e</w:t>
      </w:r>
      <w:r w:rsidRPr="0050721B">
        <w:rPr>
          <w:rFonts w:ascii="Times New Roman" w:hAnsi="Times New Roman"/>
          <w:sz w:val="24"/>
          <w:szCs w:val="24"/>
        </w:rPr>
        <w:t xml:space="preserve"> informimit dhe ligjit për të dhënat e hapura dhe ripërdorimin e informacionit publik, si dhe ligjit për njoftimin dhe konsultimin publik, monitorimi i transparencës proaktive, nxitje dhe sensibilizim për cështje të së drejtës për informim dhe të të dhënave të hapura dhe ripërdorimin e informacionit publik, kryerjes së sondazheve, kryerjen e trajnimeve, dhënies së rekomandimeve, bashkëpunimit me autoritetet publike, shqyrtimin e ankesave, kryerjes së inspektimeve, nxjerrjen e vendimeve, deri në vendosje të sanksioneve për shkelje të konstatuara etj. </w:t>
      </w:r>
    </w:p>
    <w:p w:rsidR="000B78A2" w:rsidRPr="0050721B" w:rsidRDefault="000B78A2" w:rsidP="0050721B">
      <w:pPr>
        <w:pStyle w:val="ListParagraph"/>
        <w:numPr>
          <w:ilvl w:val="0"/>
          <w:numId w:val="35"/>
        </w:numPr>
        <w:jc w:val="both"/>
        <w:rPr>
          <w:rFonts w:ascii="Times New Roman" w:hAnsi="Times New Roman"/>
          <w:sz w:val="24"/>
          <w:szCs w:val="24"/>
        </w:rPr>
      </w:pPr>
      <w:r w:rsidRPr="0050721B">
        <w:rPr>
          <w:rFonts w:ascii="Times New Roman" w:hAnsi="Times New Roman"/>
          <w:sz w:val="24"/>
          <w:szCs w:val="24"/>
        </w:rPr>
        <w:t xml:space="preserve"> shqyrtimin e ankesave të shtetasve të cilët pretendojnë se u është cenuar e drejta për mb</w:t>
      </w:r>
      <w:r w:rsidR="00D3657C">
        <w:rPr>
          <w:rFonts w:ascii="Times New Roman" w:hAnsi="Times New Roman"/>
          <w:sz w:val="24"/>
          <w:szCs w:val="24"/>
        </w:rPr>
        <w:t>rojtjen e të dhënave personale,</w:t>
      </w:r>
      <w:r w:rsidRPr="0050721B">
        <w:rPr>
          <w:rFonts w:ascii="Times New Roman" w:hAnsi="Times New Roman"/>
          <w:sz w:val="24"/>
          <w:szCs w:val="24"/>
        </w:rPr>
        <w:t xml:space="preserve"> kryerjen e hetimeve administrative pranë kontrolluesve</w:t>
      </w:r>
      <w:r w:rsidR="00D3657C">
        <w:rPr>
          <w:rFonts w:ascii="Times New Roman" w:hAnsi="Times New Roman"/>
          <w:sz w:val="24"/>
          <w:szCs w:val="24"/>
        </w:rPr>
        <w:t xml:space="preserve"> publik/privat në lidhje me to,</w:t>
      </w:r>
      <w:r w:rsidRPr="0050721B">
        <w:rPr>
          <w:rFonts w:ascii="Times New Roman" w:hAnsi="Times New Roman"/>
          <w:sz w:val="24"/>
          <w:szCs w:val="24"/>
        </w:rPr>
        <w:t xml:space="preserve"> mbik</w:t>
      </w:r>
      <w:r w:rsidR="00D3657C">
        <w:rPr>
          <w:rFonts w:ascii="Times New Roman" w:hAnsi="Times New Roman"/>
          <w:sz w:val="24"/>
          <w:szCs w:val="24"/>
        </w:rPr>
        <w:t>ë</w:t>
      </w:r>
      <w:r w:rsidRPr="0050721B">
        <w:rPr>
          <w:rFonts w:ascii="Times New Roman" w:hAnsi="Times New Roman"/>
          <w:sz w:val="24"/>
          <w:szCs w:val="24"/>
        </w:rPr>
        <w:t>qyrjen dhe garantimin e sigurisë së sistemeve dhe databazave në Zyrën e Komisionerit, mbik</w:t>
      </w:r>
      <w:r w:rsidR="00D3657C">
        <w:rPr>
          <w:rFonts w:ascii="Times New Roman" w:hAnsi="Times New Roman"/>
          <w:sz w:val="24"/>
          <w:szCs w:val="24"/>
        </w:rPr>
        <w:t>ë</w:t>
      </w:r>
      <w:r w:rsidRPr="0050721B">
        <w:rPr>
          <w:rFonts w:ascii="Times New Roman" w:hAnsi="Times New Roman"/>
          <w:sz w:val="24"/>
          <w:szCs w:val="24"/>
        </w:rPr>
        <w:t>qyrjen e zbatimit të kuadrit ligjor mbi përpunimin e të dhënave personale nga autoritetet kompetente për parandalimin dhe ndjekjen e veprave pen</w:t>
      </w:r>
      <w:r w:rsidR="00D3657C">
        <w:rPr>
          <w:rFonts w:ascii="Times New Roman" w:hAnsi="Times New Roman"/>
          <w:sz w:val="24"/>
          <w:szCs w:val="24"/>
        </w:rPr>
        <w:t>ale dhe sigurisë publike etj,</w:t>
      </w:r>
      <w:r w:rsidRPr="0050721B">
        <w:rPr>
          <w:rFonts w:ascii="Times New Roman" w:hAnsi="Times New Roman"/>
          <w:sz w:val="24"/>
          <w:szCs w:val="24"/>
        </w:rPr>
        <w:t xml:space="preserve"> në bazë të të cilave Komisioneri ushtron vendim</w:t>
      </w:r>
      <w:r w:rsidR="00D3657C">
        <w:rPr>
          <w:rFonts w:ascii="Times New Roman" w:hAnsi="Times New Roman"/>
          <w:sz w:val="24"/>
          <w:szCs w:val="24"/>
        </w:rPr>
        <w:t>m</w:t>
      </w:r>
      <w:r w:rsidRPr="0050721B">
        <w:rPr>
          <w:rFonts w:ascii="Times New Roman" w:hAnsi="Times New Roman"/>
          <w:sz w:val="24"/>
          <w:szCs w:val="24"/>
        </w:rPr>
        <w:t xml:space="preserve">arrjen e tij. </w:t>
      </w:r>
    </w:p>
    <w:p w:rsidR="000B78A2" w:rsidRPr="0050721B" w:rsidRDefault="000B78A2" w:rsidP="0050721B">
      <w:pPr>
        <w:pStyle w:val="ListParagraph"/>
        <w:numPr>
          <w:ilvl w:val="0"/>
          <w:numId w:val="35"/>
        </w:numPr>
        <w:jc w:val="both"/>
        <w:rPr>
          <w:rFonts w:ascii="Times New Roman" w:hAnsi="Times New Roman"/>
          <w:sz w:val="24"/>
          <w:szCs w:val="24"/>
        </w:rPr>
      </w:pPr>
      <w:r w:rsidRPr="0050721B">
        <w:rPr>
          <w:rFonts w:ascii="Times New Roman" w:hAnsi="Times New Roman"/>
          <w:sz w:val="24"/>
          <w:szCs w:val="24"/>
        </w:rPr>
        <w:t>Menaxhimit me efektivitet dhe korrektësi i fondeve buxhetore të KDIMDP.</w:t>
      </w:r>
    </w:p>
    <w:p w:rsidR="00C90FD7" w:rsidRPr="0050721B" w:rsidRDefault="00C90FD7" w:rsidP="0050721B">
      <w:pPr>
        <w:spacing w:line="276" w:lineRule="auto"/>
        <w:jc w:val="both"/>
      </w:pPr>
    </w:p>
    <w:p w:rsidR="00C31345" w:rsidRPr="0050721B" w:rsidRDefault="003B3367" w:rsidP="0050721B">
      <w:pPr>
        <w:spacing w:line="276" w:lineRule="auto"/>
        <w:rPr>
          <w:b/>
        </w:rPr>
      </w:pPr>
      <w:r w:rsidRPr="0050721B">
        <w:rPr>
          <w:b/>
        </w:rPr>
        <w:t xml:space="preserve">II- </w:t>
      </w:r>
      <w:r w:rsidR="007459DB" w:rsidRPr="0050721B">
        <w:rPr>
          <w:b/>
        </w:rPr>
        <w:t xml:space="preserve">INFORMACIONI </w:t>
      </w:r>
      <w:r w:rsidR="00B151F5" w:rsidRPr="0050721B">
        <w:rPr>
          <w:b/>
        </w:rPr>
        <w:t>BUXHETOR</w:t>
      </w:r>
      <w:r w:rsidR="00C31345" w:rsidRPr="0050721B">
        <w:rPr>
          <w:b/>
        </w:rPr>
        <w:t>/PERFORMANCA BUXHETORE</w:t>
      </w:r>
    </w:p>
    <w:p w:rsidR="00C31345" w:rsidRPr="0050721B" w:rsidRDefault="00C31345" w:rsidP="0050721B">
      <w:pPr>
        <w:spacing w:line="276" w:lineRule="auto"/>
        <w:rPr>
          <w:b/>
        </w:rPr>
      </w:pPr>
    </w:p>
    <w:p w:rsidR="00D81C2D" w:rsidRPr="0050721B" w:rsidRDefault="00C31345" w:rsidP="0050721B">
      <w:pPr>
        <w:spacing w:line="276" w:lineRule="auto"/>
        <w:jc w:val="both"/>
      </w:pPr>
      <w:r w:rsidRPr="0050721B">
        <w:t xml:space="preserve">Në periudhën raportuese është monitoruar përdorimi i fondeve buxhetore në zërat kryesorë të shpenzimeve operative, pagave dhe investimeve.  </w:t>
      </w:r>
    </w:p>
    <w:p w:rsidR="00D81C2D" w:rsidRPr="0050721B" w:rsidRDefault="00D81C2D" w:rsidP="0050721B">
      <w:pPr>
        <w:spacing w:line="276" w:lineRule="auto"/>
        <w:jc w:val="both"/>
        <w:rPr>
          <w:color w:val="0D0D0D" w:themeColor="text1" w:themeTint="F2"/>
        </w:rPr>
      </w:pPr>
      <w:r w:rsidRPr="0050721B">
        <w:rPr>
          <w:color w:val="0D0D0D" w:themeColor="text1" w:themeTint="F2"/>
        </w:rPr>
        <w:t xml:space="preserve">Analiza e shpenzimeve buxhetore </w:t>
      </w:r>
      <w:r w:rsidR="00A312BA" w:rsidRPr="0050721B">
        <w:rPr>
          <w:color w:val="0D0D0D" w:themeColor="text1" w:themeTint="F2"/>
        </w:rPr>
        <w:t>ë</w:t>
      </w:r>
      <w:r w:rsidRPr="0050721B">
        <w:rPr>
          <w:color w:val="0D0D0D" w:themeColor="text1" w:themeTint="F2"/>
        </w:rPr>
        <w:t>sht</w:t>
      </w:r>
      <w:r w:rsidR="00A312BA" w:rsidRPr="0050721B">
        <w:rPr>
          <w:color w:val="0D0D0D" w:themeColor="text1" w:themeTint="F2"/>
        </w:rPr>
        <w:t>ë</w:t>
      </w:r>
      <w:r w:rsidRPr="0050721B">
        <w:rPr>
          <w:color w:val="0D0D0D" w:themeColor="text1" w:themeTint="F2"/>
        </w:rPr>
        <w:t xml:space="preserve"> nj</w:t>
      </w:r>
      <w:r w:rsidR="00A312BA" w:rsidRPr="0050721B">
        <w:rPr>
          <w:color w:val="0D0D0D" w:themeColor="text1" w:themeTint="F2"/>
        </w:rPr>
        <w:t>ë</w:t>
      </w:r>
      <w:r w:rsidRPr="0050721B">
        <w:rPr>
          <w:color w:val="0D0D0D" w:themeColor="text1" w:themeTint="F2"/>
        </w:rPr>
        <w:t xml:space="preserve"> pjes</w:t>
      </w:r>
      <w:r w:rsidR="00A312BA" w:rsidRPr="0050721B">
        <w:rPr>
          <w:color w:val="0D0D0D" w:themeColor="text1" w:themeTint="F2"/>
        </w:rPr>
        <w:t>ë</w:t>
      </w:r>
      <w:r w:rsidRPr="0050721B">
        <w:rPr>
          <w:color w:val="0D0D0D" w:themeColor="text1" w:themeTint="F2"/>
        </w:rPr>
        <w:t xml:space="preserve"> thelb</w:t>
      </w:r>
      <w:r w:rsidR="00A312BA" w:rsidRPr="0050721B">
        <w:rPr>
          <w:color w:val="0D0D0D" w:themeColor="text1" w:themeTint="F2"/>
        </w:rPr>
        <w:t>ë</w:t>
      </w:r>
      <w:r w:rsidRPr="0050721B">
        <w:rPr>
          <w:color w:val="0D0D0D" w:themeColor="text1" w:themeTint="F2"/>
        </w:rPr>
        <w:t>sore e raportit t</w:t>
      </w:r>
      <w:r w:rsidR="00A312BA" w:rsidRPr="0050721B">
        <w:rPr>
          <w:color w:val="0D0D0D" w:themeColor="text1" w:themeTint="F2"/>
        </w:rPr>
        <w:t xml:space="preserve">ë </w:t>
      </w:r>
      <w:r w:rsidRPr="0050721B">
        <w:rPr>
          <w:color w:val="0D0D0D" w:themeColor="text1" w:themeTint="F2"/>
        </w:rPr>
        <w:t>monitorimit financ</w:t>
      </w:r>
      <w:r w:rsidR="00A312BA" w:rsidRPr="0050721B">
        <w:rPr>
          <w:color w:val="0D0D0D" w:themeColor="text1" w:themeTint="F2"/>
        </w:rPr>
        <w:t>iar</w:t>
      </w:r>
      <w:r w:rsidR="00D3657C">
        <w:rPr>
          <w:color w:val="0D0D0D" w:themeColor="text1" w:themeTint="F2"/>
        </w:rPr>
        <w:t>, e cila</w:t>
      </w:r>
      <w:r w:rsidR="00A312BA" w:rsidRPr="0050721B">
        <w:rPr>
          <w:color w:val="0D0D0D" w:themeColor="text1" w:themeTint="F2"/>
        </w:rPr>
        <w:t xml:space="preserve"> </w:t>
      </w:r>
      <w:r w:rsidRPr="0050721B">
        <w:rPr>
          <w:color w:val="0D0D0D" w:themeColor="text1" w:themeTint="F2"/>
        </w:rPr>
        <w:t>vler</w:t>
      </w:r>
      <w:r w:rsidR="00A312BA" w:rsidRPr="0050721B">
        <w:rPr>
          <w:color w:val="0D0D0D" w:themeColor="text1" w:themeTint="F2"/>
        </w:rPr>
        <w:t>ë</w:t>
      </w:r>
      <w:r w:rsidRPr="0050721B">
        <w:rPr>
          <w:color w:val="0D0D0D" w:themeColor="text1" w:themeTint="F2"/>
        </w:rPr>
        <w:t>s</w:t>
      </w:r>
      <w:r w:rsidR="00A312BA" w:rsidRPr="0050721B">
        <w:rPr>
          <w:color w:val="0D0D0D" w:themeColor="text1" w:themeTint="F2"/>
        </w:rPr>
        <w:t>o</w:t>
      </w:r>
      <w:r w:rsidRPr="0050721B">
        <w:rPr>
          <w:color w:val="0D0D0D" w:themeColor="text1" w:themeTint="F2"/>
        </w:rPr>
        <w:t>n sa efektivisht jan</w:t>
      </w:r>
      <w:r w:rsidR="00A312BA" w:rsidRPr="0050721B">
        <w:rPr>
          <w:color w:val="0D0D0D" w:themeColor="text1" w:themeTint="F2"/>
        </w:rPr>
        <w:t>ë</w:t>
      </w:r>
      <w:r w:rsidRPr="0050721B">
        <w:rPr>
          <w:color w:val="0D0D0D" w:themeColor="text1" w:themeTint="F2"/>
        </w:rPr>
        <w:t xml:space="preserve"> p</w:t>
      </w:r>
      <w:r w:rsidR="00A312BA" w:rsidRPr="0050721B">
        <w:rPr>
          <w:color w:val="0D0D0D" w:themeColor="text1" w:themeTint="F2"/>
        </w:rPr>
        <w:t>ë</w:t>
      </w:r>
      <w:r w:rsidRPr="0050721B">
        <w:rPr>
          <w:color w:val="0D0D0D" w:themeColor="text1" w:themeTint="F2"/>
        </w:rPr>
        <w:t>rdorur fondet publike gjat</w:t>
      </w:r>
      <w:r w:rsidR="00A312BA" w:rsidRPr="0050721B">
        <w:rPr>
          <w:color w:val="0D0D0D" w:themeColor="text1" w:themeTint="F2"/>
        </w:rPr>
        <w:t>ë</w:t>
      </w:r>
      <w:r w:rsidRPr="0050721B">
        <w:rPr>
          <w:color w:val="0D0D0D" w:themeColor="text1" w:themeTint="F2"/>
        </w:rPr>
        <w:t xml:space="preserve"> nj</w:t>
      </w:r>
      <w:r w:rsidR="00A312BA" w:rsidRPr="0050721B">
        <w:rPr>
          <w:color w:val="0D0D0D" w:themeColor="text1" w:themeTint="F2"/>
        </w:rPr>
        <w:t>ë</w:t>
      </w:r>
      <w:r w:rsidRPr="0050721B">
        <w:rPr>
          <w:color w:val="0D0D0D" w:themeColor="text1" w:themeTint="F2"/>
        </w:rPr>
        <w:t xml:space="preserve"> periudhe buxhetore t</w:t>
      </w:r>
      <w:r w:rsidR="00A312BA" w:rsidRPr="0050721B">
        <w:rPr>
          <w:color w:val="0D0D0D" w:themeColor="text1" w:themeTint="F2"/>
        </w:rPr>
        <w:t>ë</w:t>
      </w:r>
      <w:r w:rsidRPr="0050721B">
        <w:rPr>
          <w:color w:val="0D0D0D" w:themeColor="text1" w:themeTint="F2"/>
        </w:rPr>
        <w:t xml:space="preserve"> caktuar, n</w:t>
      </w:r>
      <w:r w:rsidR="00A312BA" w:rsidRPr="0050721B">
        <w:rPr>
          <w:color w:val="0D0D0D" w:themeColor="text1" w:themeTint="F2"/>
        </w:rPr>
        <w:t xml:space="preserve">ë </w:t>
      </w:r>
      <w:r w:rsidRPr="0050721B">
        <w:rPr>
          <w:color w:val="0D0D0D" w:themeColor="text1" w:themeTint="F2"/>
        </w:rPr>
        <w:t>fun</w:t>
      </w:r>
      <w:r w:rsidR="00A312BA" w:rsidRPr="0050721B">
        <w:rPr>
          <w:color w:val="0D0D0D" w:themeColor="text1" w:themeTint="F2"/>
        </w:rPr>
        <w:t>k</w:t>
      </w:r>
      <w:r w:rsidRPr="0050721B">
        <w:rPr>
          <w:color w:val="0D0D0D" w:themeColor="text1" w:themeTint="F2"/>
        </w:rPr>
        <w:t>sion t</w:t>
      </w:r>
      <w:r w:rsidR="00A312BA" w:rsidRPr="0050721B">
        <w:rPr>
          <w:color w:val="0D0D0D" w:themeColor="text1" w:themeTint="F2"/>
        </w:rPr>
        <w:t>ë</w:t>
      </w:r>
      <w:r w:rsidRPr="0050721B">
        <w:rPr>
          <w:color w:val="0D0D0D" w:themeColor="text1" w:themeTint="F2"/>
        </w:rPr>
        <w:t xml:space="preserve"> realiz</w:t>
      </w:r>
      <w:r w:rsidR="00A312BA" w:rsidRPr="0050721B">
        <w:rPr>
          <w:color w:val="0D0D0D" w:themeColor="text1" w:themeTint="F2"/>
        </w:rPr>
        <w:t>i</w:t>
      </w:r>
      <w:r w:rsidRPr="0050721B">
        <w:rPr>
          <w:color w:val="0D0D0D" w:themeColor="text1" w:themeTint="F2"/>
        </w:rPr>
        <w:t>mit t</w:t>
      </w:r>
      <w:r w:rsidR="00A312BA" w:rsidRPr="0050721B">
        <w:rPr>
          <w:color w:val="0D0D0D" w:themeColor="text1" w:themeTint="F2"/>
        </w:rPr>
        <w:t>ë</w:t>
      </w:r>
      <w:r w:rsidRPr="0050721B">
        <w:rPr>
          <w:color w:val="0D0D0D" w:themeColor="text1" w:themeTint="F2"/>
        </w:rPr>
        <w:t xml:space="preserve"> misionit</w:t>
      </w:r>
      <w:r w:rsidR="00A312BA" w:rsidRPr="0050721B">
        <w:rPr>
          <w:color w:val="0D0D0D" w:themeColor="text1" w:themeTint="F2"/>
        </w:rPr>
        <w:t xml:space="preserve"> </w:t>
      </w:r>
      <w:r w:rsidRPr="0050721B">
        <w:rPr>
          <w:color w:val="0D0D0D" w:themeColor="text1" w:themeTint="F2"/>
        </w:rPr>
        <w:t>dhe objektivave konkrete p</w:t>
      </w:r>
      <w:r w:rsidR="00A312BA" w:rsidRPr="0050721B">
        <w:rPr>
          <w:color w:val="0D0D0D" w:themeColor="text1" w:themeTint="F2"/>
        </w:rPr>
        <w:t>ë</w:t>
      </w:r>
      <w:r w:rsidR="00D3657C">
        <w:rPr>
          <w:color w:val="0D0D0D" w:themeColor="text1" w:themeTint="F2"/>
        </w:rPr>
        <w:t>r vitin aktual buxhetor.</w:t>
      </w:r>
      <w:r w:rsidR="00364C8D" w:rsidRPr="0050721B">
        <w:rPr>
          <w:color w:val="0D0D0D" w:themeColor="text1" w:themeTint="F2"/>
        </w:rPr>
        <w:t xml:space="preserve"> </w:t>
      </w:r>
      <w:r w:rsidR="00F04D71" w:rsidRPr="0050721B">
        <w:rPr>
          <w:color w:val="0D0D0D" w:themeColor="text1" w:themeTint="F2"/>
        </w:rPr>
        <w:t>Ky raportim sh</w:t>
      </w:r>
      <w:r w:rsidR="004543DF" w:rsidRPr="0050721B">
        <w:rPr>
          <w:color w:val="0D0D0D" w:themeColor="text1" w:themeTint="F2"/>
        </w:rPr>
        <w:t>ë</w:t>
      </w:r>
      <w:r w:rsidR="00F04D71" w:rsidRPr="0050721B">
        <w:rPr>
          <w:color w:val="0D0D0D" w:themeColor="text1" w:themeTint="F2"/>
        </w:rPr>
        <w:t>rben si nj</w:t>
      </w:r>
      <w:r w:rsidR="004543DF" w:rsidRPr="0050721B">
        <w:rPr>
          <w:color w:val="0D0D0D" w:themeColor="text1" w:themeTint="F2"/>
        </w:rPr>
        <w:t>ë</w:t>
      </w:r>
      <w:r w:rsidR="00F04D71" w:rsidRPr="0050721B">
        <w:rPr>
          <w:color w:val="0D0D0D" w:themeColor="text1" w:themeTint="F2"/>
        </w:rPr>
        <w:t xml:space="preserve"> pasqyr</w:t>
      </w:r>
      <w:r w:rsidR="004543DF" w:rsidRPr="0050721B">
        <w:rPr>
          <w:color w:val="0D0D0D" w:themeColor="text1" w:themeTint="F2"/>
        </w:rPr>
        <w:t>ë</w:t>
      </w:r>
      <w:r w:rsidR="00F04D71" w:rsidRPr="0050721B">
        <w:rPr>
          <w:color w:val="0D0D0D" w:themeColor="text1" w:themeTint="F2"/>
        </w:rPr>
        <w:t xml:space="preserve"> e r</w:t>
      </w:r>
      <w:r w:rsidR="004543DF" w:rsidRPr="0050721B">
        <w:rPr>
          <w:color w:val="0D0D0D" w:themeColor="text1" w:themeTint="F2"/>
        </w:rPr>
        <w:t>ë</w:t>
      </w:r>
      <w:r w:rsidR="00F04D71" w:rsidRPr="0050721B">
        <w:rPr>
          <w:color w:val="0D0D0D" w:themeColor="text1" w:themeTint="F2"/>
        </w:rPr>
        <w:t>nd</w:t>
      </w:r>
      <w:r w:rsidR="004543DF" w:rsidRPr="0050721B">
        <w:rPr>
          <w:color w:val="0D0D0D" w:themeColor="text1" w:themeTint="F2"/>
        </w:rPr>
        <w:t>ë</w:t>
      </w:r>
      <w:r w:rsidR="00F04D71" w:rsidRPr="0050721B">
        <w:rPr>
          <w:color w:val="0D0D0D" w:themeColor="text1" w:themeTint="F2"/>
        </w:rPr>
        <w:t>sishme p</w:t>
      </w:r>
      <w:r w:rsidR="004543DF" w:rsidRPr="0050721B">
        <w:rPr>
          <w:color w:val="0D0D0D" w:themeColor="text1" w:themeTint="F2"/>
        </w:rPr>
        <w:t>ë</w:t>
      </w:r>
      <w:r w:rsidR="00F04D71" w:rsidRPr="0050721B">
        <w:rPr>
          <w:color w:val="0D0D0D" w:themeColor="text1" w:themeTint="F2"/>
        </w:rPr>
        <w:t>rmes s</w:t>
      </w:r>
      <w:r w:rsidR="004543DF" w:rsidRPr="0050721B">
        <w:rPr>
          <w:color w:val="0D0D0D" w:themeColor="text1" w:themeTint="F2"/>
        </w:rPr>
        <w:t>ë</w:t>
      </w:r>
      <w:r w:rsidR="00F04D71" w:rsidRPr="0050721B">
        <w:rPr>
          <w:color w:val="0D0D0D" w:themeColor="text1" w:themeTint="F2"/>
        </w:rPr>
        <w:t xml:space="preserve"> cil</w:t>
      </w:r>
      <w:r w:rsidR="004543DF" w:rsidRPr="0050721B">
        <w:rPr>
          <w:color w:val="0D0D0D" w:themeColor="text1" w:themeTint="F2"/>
        </w:rPr>
        <w:t>ë</w:t>
      </w:r>
      <w:r w:rsidR="00F04D71" w:rsidRPr="0050721B">
        <w:rPr>
          <w:color w:val="0D0D0D" w:themeColor="text1" w:themeTint="F2"/>
        </w:rPr>
        <w:t>s KDIMDP syno</w:t>
      </w:r>
      <w:r w:rsidR="00D3657C">
        <w:rPr>
          <w:color w:val="0D0D0D" w:themeColor="text1" w:themeTint="F2"/>
        </w:rPr>
        <w:t>het</w:t>
      </w:r>
      <w:r w:rsidR="00F04D71" w:rsidRPr="0050721B">
        <w:rPr>
          <w:color w:val="0D0D0D" w:themeColor="text1" w:themeTint="F2"/>
        </w:rPr>
        <w:t xml:space="preserve"> lidhjen mi</w:t>
      </w:r>
      <w:r w:rsidR="004543DF" w:rsidRPr="0050721B">
        <w:rPr>
          <w:color w:val="0D0D0D" w:themeColor="text1" w:themeTint="F2"/>
        </w:rPr>
        <w:t xml:space="preserve">dis </w:t>
      </w:r>
      <w:r w:rsidR="00F04D71" w:rsidRPr="0050721B">
        <w:rPr>
          <w:color w:val="0D0D0D" w:themeColor="text1" w:themeTint="F2"/>
        </w:rPr>
        <w:t>kostove buxhetore me produk</w:t>
      </w:r>
      <w:r w:rsidR="00113766" w:rsidRPr="0050721B">
        <w:rPr>
          <w:color w:val="0D0D0D" w:themeColor="text1" w:themeTint="F2"/>
        </w:rPr>
        <w:t>t</w:t>
      </w:r>
      <w:r w:rsidR="00F04D71" w:rsidRPr="0050721B">
        <w:rPr>
          <w:color w:val="0D0D0D" w:themeColor="text1" w:themeTint="F2"/>
        </w:rPr>
        <w:t xml:space="preserve">et </w:t>
      </w:r>
      <w:r w:rsidR="004543DF" w:rsidRPr="0050721B">
        <w:rPr>
          <w:color w:val="0D0D0D" w:themeColor="text1" w:themeTint="F2"/>
        </w:rPr>
        <w:t xml:space="preserve">dhe </w:t>
      </w:r>
      <w:r w:rsidR="00F04D71" w:rsidRPr="0050721B">
        <w:rPr>
          <w:color w:val="0D0D0D" w:themeColor="text1" w:themeTint="F2"/>
        </w:rPr>
        <w:t xml:space="preserve">treguesit </w:t>
      </w:r>
      <w:r w:rsidR="00113766" w:rsidRPr="0050721B">
        <w:rPr>
          <w:color w:val="0D0D0D" w:themeColor="text1" w:themeTint="F2"/>
        </w:rPr>
        <w:t>ky</w:t>
      </w:r>
      <w:r w:rsidR="00D3657C">
        <w:rPr>
          <w:color w:val="0D0D0D" w:themeColor="text1" w:themeTint="F2"/>
        </w:rPr>
        <w:t>ç</w:t>
      </w:r>
      <w:r w:rsidR="00113766" w:rsidRPr="0050721B">
        <w:rPr>
          <w:color w:val="0D0D0D" w:themeColor="text1" w:themeTint="F2"/>
        </w:rPr>
        <w:t xml:space="preserve"> të </w:t>
      </w:r>
      <w:r w:rsidR="00F04D71" w:rsidRPr="0050721B">
        <w:rPr>
          <w:color w:val="0D0D0D" w:themeColor="text1" w:themeTint="F2"/>
        </w:rPr>
        <w:t>performanc</w:t>
      </w:r>
      <w:r w:rsidR="004543DF" w:rsidRPr="0050721B">
        <w:rPr>
          <w:color w:val="0D0D0D" w:themeColor="text1" w:themeTint="F2"/>
        </w:rPr>
        <w:t>ë</w:t>
      </w:r>
      <w:r w:rsidR="00F04D71" w:rsidRPr="0050721B">
        <w:rPr>
          <w:color w:val="0D0D0D" w:themeColor="text1" w:themeTint="F2"/>
        </w:rPr>
        <w:t>s</w:t>
      </w:r>
      <w:r w:rsidR="00113766" w:rsidRPr="0050721B">
        <w:rPr>
          <w:color w:val="0D0D0D" w:themeColor="text1" w:themeTint="F2"/>
        </w:rPr>
        <w:t xml:space="preserve"> (KPI)</w:t>
      </w:r>
      <w:r w:rsidR="004543DF" w:rsidRPr="0050721B">
        <w:rPr>
          <w:color w:val="0D0D0D" w:themeColor="text1" w:themeTint="F2"/>
        </w:rPr>
        <w:t xml:space="preserve">, </w:t>
      </w:r>
      <w:r w:rsidR="00F04D71" w:rsidRPr="0050721B">
        <w:rPr>
          <w:color w:val="0D0D0D" w:themeColor="text1" w:themeTint="F2"/>
        </w:rPr>
        <w:t>si forma m</w:t>
      </w:r>
      <w:r w:rsidR="004543DF" w:rsidRPr="0050721B">
        <w:rPr>
          <w:color w:val="0D0D0D" w:themeColor="text1" w:themeTint="F2"/>
        </w:rPr>
        <w:t>ë</w:t>
      </w:r>
      <w:r w:rsidR="00F04D71" w:rsidRPr="0050721B">
        <w:rPr>
          <w:color w:val="0D0D0D" w:themeColor="text1" w:themeTint="F2"/>
        </w:rPr>
        <w:t xml:space="preserve"> e mir</w:t>
      </w:r>
      <w:r w:rsidR="00113766" w:rsidRPr="0050721B">
        <w:rPr>
          <w:color w:val="0D0D0D" w:themeColor="text1" w:themeTint="F2"/>
        </w:rPr>
        <w:t>ë</w:t>
      </w:r>
      <w:r w:rsidR="00F04D71" w:rsidRPr="0050721B">
        <w:rPr>
          <w:color w:val="0D0D0D" w:themeColor="text1" w:themeTint="F2"/>
        </w:rPr>
        <w:t xml:space="preserve"> e buxhetimit dhe vler</w:t>
      </w:r>
      <w:r w:rsidR="004543DF" w:rsidRPr="0050721B">
        <w:rPr>
          <w:color w:val="0D0D0D" w:themeColor="text1" w:themeTint="F2"/>
        </w:rPr>
        <w:t>ë</w:t>
      </w:r>
      <w:r w:rsidR="00F04D71" w:rsidRPr="0050721B">
        <w:rPr>
          <w:color w:val="0D0D0D" w:themeColor="text1" w:themeTint="F2"/>
        </w:rPr>
        <w:t>simit financiar t</w:t>
      </w:r>
      <w:r w:rsidR="004543DF" w:rsidRPr="0050721B">
        <w:rPr>
          <w:color w:val="0D0D0D" w:themeColor="text1" w:themeTint="F2"/>
        </w:rPr>
        <w:t xml:space="preserve">ë </w:t>
      </w:r>
      <w:r w:rsidR="00F04D71" w:rsidRPr="0050721B">
        <w:rPr>
          <w:color w:val="0D0D0D" w:themeColor="text1" w:themeTint="F2"/>
        </w:rPr>
        <w:t>ecuris</w:t>
      </w:r>
      <w:r w:rsidR="004543DF" w:rsidRPr="0050721B">
        <w:rPr>
          <w:color w:val="0D0D0D" w:themeColor="text1" w:themeTint="F2"/>
        </w:rPr>
        <w:t>ë</w:t>
      </w:r>
      <w:r w:rsidR="00F04D71" w:rsidRPr="0050721B">
        <w:rPr>
          <w:color w:val="0D0D0D" w:themeColor="text1" w:themeTint="F2"/>
        </w:rPr>
        <w:t xml:space="preserve"> s</w:t>
      </w:r>
      <w:r w:rsidR="004543DF" w:rsidRPr="0050721B">
        <w:rPr>
          <w:color w:val="0D0D0D" w:themeColor="text1" w:themeTint="F2"/>
        </w:rPr>
        <w:t>ë</w:t>
      </w:r>
      <w:r w:rsidR="00F04D71" w:rsidRPr="0050721B">
        <w:rPr>
          <w:color w:val="0D0D0D" w:themeColor="text1" w:themeTint="F2"/>
        </w:rPr>
        <w:t xml:space="preserve"> institucionit n</w:t>
      </w:r>
      <w:r w:rsidR="004543DF" w:rsidRPr="0050721B">
        <w:rPr>
          <w:color w:val="0D0D0D" w:themeColor="text1" w:themeTint="F2"/>
        </w:rPr>
        <w:t>ë</w:t>
      </w:r>
      <w:r w:rsidR="00F04D71" w:rsidRPr="0050721B">
        <w:rPr>
          <w:color w:val="0D0D0D" w:themeColor="text1" w:themeTint="F2"/>
        </w:rPr>
        <w:t xml:space="preserve"> k</w:t>
      </w:r>
      <w:r w:rsidR="004543DF" w:rsidRPr="0050721B">
        <w:rPr>
          <w:color w:val="0D0D0D" w:themeColor="text1" w:themeTint="F2"/>
        </w:rPr>
        <w:t>ëtë</w:t>
      </w:r>
      <w:r w:rsidR="00F04D71" w:rsidRPr="0050721B">
        <w:rPr>
          <w:color w:val="0D0D0D" w:themeColor="text1" w:themeTint="F2"/>
        </w:rPr>
        <w:t xml:space="preserve"> k</w:t>
      </w:r>
      <w:r w:rsidR="004543DF" w:rsidRPr="0050721B">
        <w:rPr>
          <w:color w:val="0D0D0D" w:themeColor="text1" w:themeTint="F2"/>
        </w:rPr>
        <w:t>ë</w:t>
      </w:r>
      <w:r w:rsidR="00F04D71" w:rsidRPr="0050721B">
        <w:rPr>
          <w:color w:val="0D0D0D" w:themeColor="text1" w:themeTint="F2"/>
        </w:rPr>
        <w:t>ndv</w:t>
      </w:r>
      <w:r w:rsidR="004543DF" w:rsidRPr="0050721B">
        <w:rPr>
          <w:color w:val="0D0D0D" w:themeColor="text1" w:themeTint="F2"/>
        </w:rPr>
        <w:t>ë</w:t>
      </w:r>
      <w:r w:rsidR="00F04D71" w:rsidRPr="0050721B">
        <w:rPr>
          <w:color w:val="0D0D0D" w:themeColor="text1" w:themeTint="F2"/>
        </w:rPr>
        <w:t>shtrim</w:t>
      </w:r>
      <w:r w:rsidR="00113766" w:rsidRPr="0050721B">
        <w:rPr>
          <w:color w:val="0D0D0D" w:themeColor="text1" w:themeTint="F2"/>
        </w:rPr>
        <w:t xml:space="preserve">. </w:t>
      </w:r>
    </w:p>
    <w:p w:rsidR="00364C8D" w:rsidRPr="0050721B" w:rsidRDefault="00364C8D" w:rsidP="0050721B">
      <w:pPr>
        <w:spacing w:line="276" w:lineRule="auto"/>
        <w:jc w:val="both"/>
      </w:pPr>
      <w:r w:rsidRPr="0050721B">
        <w:t>Në aspektin jo-financiar, Zyra e Komisionerit ka trajtuar me sukses shumicën e kërkesave dhe ankesave brenda afateve ligjore, duke respektuar standardet e transparencës dhe s</w:t>
      </w:r>
      <w:r w:rsidR="00D3657C">
        <w:t>hërbimit. Numri i inspektimeve,</w:t>
      </w:r>
      <w:r w:rsidRPr="0050721B">
        <w:t xml:space="preserve"> vendimeve dhe akteve të miratuara është në përputhje me planin e përcaktuar. Janë organizuar gjithashtu disa takime dhe trajnime të brendshme për forcimin e kapaciteteve të stafit.</w:t>
      </w:r>
    </w:p>
    <w:p w:rsidR="00E16DF6" w:rsidRPr="0050721B" w:rsidRDefault="00E16DF6" w:rsidP="0050721B">
      <w:pPr>
        <w:autoSpaceDE w:val="0"/>
        <w:autoSpaceDN w:val="0"/>
        <w:adjustRightInd w:val="0"/>
        <w:spacing w:line="276" w:lineRule="auto"/>
        <w:jc w:val="both"/>
        <w:rPr>
          <w:rFonts w:eastAsiaTheme="minorHAnsi"/>
          <w:lang w:val="en-US" w:eastAsia="en-US"/>
        </w:rPr>
      </w:pPr>
    </w:p>
    <w:p w:rsidR="000B78A2" w:rsidRPr="0050721B" w:rsidRDefault="000B78A2" w:rsidP="0050721B">
      <w:pPr>
        <w:autoSpaceDE w:val="0"/>
        <w:autoSpaceDN w:val="0"/>
        <w:adjustRightInd w:val="0"/>
        <w:spacing w:line="276" w:lineRule="auto"/>
        <w:jc w:val="both"/>
        <w:rPr>
          <w:rFonts w:eastAsiaTheme="minorHAnsi"/>
          <w:lang w:val="en-US" w:eastAsia="en-US"/>
        </w:rPr>
      </w:pPr>
      <w:proofErr w:type="spellStart"/>
      <w:r w:rsidRPr="0050721B">
        <w:rPr>
          <w:rFonts w:eastAsiaTheme="minorHAnsi"/>
          <w:lang w:val="en-US" w:eastAsia="en-US"/>
        </w:rPr>
        <w:t>Buxheti</w:t>
      </w:r>
      <w:proofErr w:type="spellEnd"/>
      <w:r w:rsidRPr="0050721B">
        <w:rPr>
          <w:rFonts w:eastAsiaTheme="minorHAnsi"/>
          <w:lang w:val="en-US" w:eastAsia="en-US"/>
        </w:rPr>
        <w:t xml:space="preserve"> </w:t>
      </w:r>
      <w:proofErr w:type="spellStart"/>
      <w:r w:rsidRPr="0050721B">
        <w:rPr>
          <w:rFonts w:eastAsiaTheme="minorHAnsi"/>
          <w:lang w:val="en-US" w:eastAsia="en-US"/>
        </w:rPr>
        <w:t>i</w:t>
      </w:r>
      <w:proofErr w:type="spellEnd"/>
      <w:r w:rsidRPr="0050721B">
        <w:rPr>
          <w:rFonts w:eastAsiaTheme="minorHAnsi"/>
          <w:lang w:val="en-US" w:eastAsia="en-US"/>
        </w:rPr>
        <w:t xml:space="preserve"> </w:t>
      </w:r>
      <w:proofErr w:type="spellStart"/>
      <w:r w:rsidRPr="0050721B">
        <w:rPr>
          <w:rFonts w:eastAsiaTheme="minorHAnsi"/>
          <w:lang w:val="en-US" w:eastAsia="en-US"/>
        </w:rPr>
        <w:t>akorduar</w:t>
      </w:r>
      <w:proofErr w:type="spellEnd"/>
      <w:r w:rsidRPr="0050721B">
        <w:rPr>
          <w:rFonts w:eastAsiaTheme="minorHAnsi"/>
          <w:lang w:val="en-US" w:eastAsia="en-US"/>
        </w:rPr>
        <w:t xml:space="preserve"> për </w:t>
      </w:r>
      <w:proofErr w:type="spellStart"/>
      <w:r w:rsidRPr="0050721B">
        <w:rPr>
          <w:rFonts w:eastAsiaTheme="minorHAnsi"/>
          <w:lang w:val="en-US" w:eastAsia="en-US"/>
        </w:rPr>
        <w:t>programin</w:t>
      </w:r>
      <w:proofErr w:type="spellEnd"/>
      <w:r w:rsidRPr="0050721B">
        <w:rPr>
          <w:rFonts w:eastAsiaTheme="minorHAnsi"/>
          <w:lang w:val="en-US" w:eastAsia="en-US"/>
        </w:rPr>
        <w:t xml:space="preserve"> “</w:t>
      </w:r>
      <w:proofErr w:type="spellStart"/>
      <w:r w:rsidRPr="0050721B">
        <w:rPr>
          <w:rFonts w:eastAsiaTheme="minorHAnsi"/>
          <w:lang w:val="en-US" w:eastAsia="en-US"/>
        </w:rPr>
        <w:t>Menaxhim</w:t>
      </w:r>
      <w:proofErr w:type="spellEnd"/>
      <w:r w:rsidRPr="0050721B">
        <w:rPr>
          <w:rFonts w:eastAsiaTheme="minorHAnsi"/>
          <w:lang w:val="en-US" w:eastAsia="en-US"/>
        </w:rPr>
        <w:t>,</w:t>
      </w:r>
      <w:r w:rsidR="0086445A" w:rsidRPr="0050721B">
        <w:rPr>
          <w:rFonts w:eastAsiaTheme="minorHAnsi"/>
          <w:lang w:val="en-US" w:eastAsia="en-US"/>
        </w:rPr>
        <w:t xml:space="preserve"> </w:t>
      </w:r>
      <w:proofErr w:type="spellStart"/>
      <w:r w:rsidRPr="0050721B">
        <w:rPr>
          <w:rFonts w:eastAsiaTheme="minorHAnsi"/>
          <w:lang w:val="en-US" w:eastAsia="en-US"/>
        </w:rPr>
        <w:t>Administrim</w:t>
      </w:r>
      <w:proofErr w:type="spellEnd"/>
      <w:r w:rsidRPr="0050721B">
        <w:rPr>
          <w:rFonts w:eastAsiaTheme="minorHAnsi"/>
          <w:lang w:val="en-US" w:eastAsia="en-US"/>
        </w:rPr>
        <w:t>,</w:t>
      </w:r>
      <w:r w:rsidR="0086445A" w:rsidRPr="0050721B">
        <w:rPr>
          <w:rFonts w:eastAsiaTheme="minorHAnsi"/>
          <w:lang w:val="en-US" w:eastAsia="en-US"/>
        </w:rPr>
        <w:t xml:space="preserve"> </w:t>
      </w:r>
      <w:proofErr w:type="spellStart"/>
      <w:r w:rsidRPr="0050721B">
        <w:rPr>
          <w:rFonts w:eastAsiaTheme="minorHAnsi"/>
          <w:lang w:val="en-US" w:eastAsia="en-US"/>
        </w:rPr>
        <w:t>Planifikim</w:t>
      </w:r>
      <w:proofErr w:type="spellEnd"/>
      <w:r w:rsidRPr="0050721B">
        <w:rPr>
          <w:rFonts w:eastAsiaTheme="minorHAnsi"/>
          <w:lang w:val="en-US" w:eastAsia="en-US"/>
        </w:rPr>
        <w:t>”</w:t>
      </w:r>
      <w:r w:rsidR="00A312BA" w:rsidRPr="0050721B">
        <w:rPr>
          <w:rFonts w:eastAsiaTheme="minorHAnsi"/>
          <w:lang w:val="en-US" w:eastAsia="en-US"/>
        </w:rPr>
        <w:t>,</w:t>
      </w:r>
      <w:r w:rsidRPr="0050721B">
        <w:rPr>
          <w:rFonts w:eastAsiaTheme="minorHAnsi"/>
          <w:lang w:val="en-US" w:eastAsia="en-US"/>
        </w:rPr>
        <w:t xml:space="preserve"> </w:t>
      </w:r>
      <w:proofErr w:type="spellStart"/>
      <w:r w:rsidRPr="0050721B">
        <w:rPr>
          <w:rFonts w:eastAsiaTheme="minorHAnsi"/>
          <w:lang w:val="en-US" w:eastAsia="en-US"/>
        </w:rPr>
        <w:t>ka</w:t>
      </w:r>
      <w:proofErr w:type="spellEnd"/>
      <w:r w:rsidRPr="0050721B">
        <w:rPr>
          <w:rFonts w:eastAsiaTheme="minorHAnsi"/>
          <w:lang w:val="en-US" w:eastAsia="en-US"/>
        </w:rPr>
        <w:t xml:space="preserve"> </w:t>
      </w:r>
      <w:proofErr w:type="spellStart"/>
      <w:r w:rsidRPr="0050721B">
        <w:rPr>
          <w:rFonts w:eastAsiaTheme="minorHAnsi"/>
          <w:lang w:val="en-US" w:eastAsia="en-US"/>
        </w:rPr>
        <w:t>në</w:t>
      </w:r>
      <w:proofErr w:type="spellEnd"/>
      <w:r w:rsidRPr="0050721B">
        <w:rPr>
          <w:rFonts w:eastAsiaTheme="minorHAnsi"/>
          <w:lang w:val="en-US" w:eastAsia="en-US"/>
        </w:rPr>
        <w:t xml:space="preserve"> </w:t>
      </w:r>
      <w:proofErr w:type="spellStart"/>
      <w:r w:rsidRPr="0050721B">
        <w:rPr>
          <w:rFonts w:eastAsiaTheme="minorHAnsi"/>
          <w:lang w:val="en-US" w:eastAsia="en-US"/>
        </w:rPr>
        <w:t>bazë</w:t>
      </w:r>
      <w:proofErr w:type="spellEnd"/>
      <w:r w:rsidRPr="0050721B">
        <w:rPr>
          <w:rFonts w:eastAsiaTheme="minorHAnsi"/>
          <w:lang w:val="en-US" w:eastAsia="en-US"/>
        </w:rPr>
        <w:t xml:space="preserve"> të </w:t>
      </w:r>
      <w:proofErr w:type="spellStart"/>
      <w:r w:rsidRPr="0050721B">
        <w:rPr>
          <w:rFonts w:eastAsiaTheme="minorHAnsi"/>
          <w:lang w:val="en-US" w:eastAsia="en-US"/>
        </w:rPr>
        <w:t>tij</w:t>
      </w:r>
      <w:proofErr w:type="spellEnd"/>
      <w:r w:rsidRPr="0050721B">
        <w:rPr>
          <w:rFonts w:eastAsiaTheme="minorHAnsi"/>
          <w:lang w:val="en-US" w:eastAsia="en-US"/>
        </w:rPr>
        <w:t xml:space="preserve"> </w:t>
      </w:r>
      <w:proofErr w:type="spellStart"/>
      <w:r w:rsidRPr="0050721B">
        <w:rPr>
          <w:rFonts w:eastAsiaTheme="minorHAnsi"/>
          <w:lang w:val="en-US" w:eastAsia="en-US"/>
        </w:rPr>
        <w:t>Deklaratën</w:t>
      </w:r>
      <w:proofErr w:type="spellEnd"/>
      <w:r w:rsidRPr="0050721B">
        <w:rPr>
          <w:rFonts w:eastAsiaTheme="minorHAnsi"/>
          <w:lang w:val="en-US" w:eastAsia="en-US"/>
        </w:rPr>
        <w:t xml:space="preserve"> e </w:t>
      </w:r>
      <w:proofErr w:type="spellStart"/>
      <w:r w:rsidRPr="0050721B">
        <w:rPr>
          <w:rFonts w:eastAsiaTheme="minorHAnsi"/>
          <w:lang w:val="en-US" w:eastAsia="en-US"/>
        </w:rPr>
        <w:t>Politikës</w:t>
      </w:r>
      <w:proofErr w:type="spellEnd"/>
      <w:r w:rsidRPr="0050721B">
        <w:rPr>
          <w:rFonts w:eastAsiaTheme="minorHAnsi"/>
          <w:lang w:val="en-US" w:eastAsia="en-US"/>
        </w:rPr>
        <w:t xml:space="preserve"> (DPP) të </w:t>
      </w:r>
      <w:proofErr w:type="spellStart"/>
      <w:r w:rsidRPr="0050721B">
        <w:rPr>
          <w:rFonts w:eastAsiaTheme="minorHAnsi"/>
          <w:lang w:val="en-US" w:eastAsia="en-US"/>
        </w:rPr>
        <w:t>hartuar</w:t>
      </w:r>
      <w:proofErr w:type="spellEnd"/>
      <w:r w:rsidRPr="0050721B">
        <w:rPr>
          <w:rFonts w:eastAsiaTheme="minorHAnsi"/>
          <w:lang w:val="en-US" w:eastAsia="en-US"/>
        </w:rPr>
        <w:t xml:space="preserve"> </w:t>
      </w:r>
      <w:proofErr w:type="spellStart"/>
      <w:r w:rsidRPr="0050721B">
        <w:rPr>
          <w:rFonts w:eastAsiaTheme="minorHAnsi"/>
          <w:lang w:val="en-US" w:eastAsia="en-US"/>
        </w:rPr>
        <w:t>gjatë</w:t>
      </w:r>
      <w:proofErr w:type="spellEnd"/>
      <w:r w:rsidRPr="0050721B">
        <w:rPr>
          <w:rFonts w:eastAsiaTheme="minorHAnsi"/>
          <w:lang w:val="en-US" w:eastAsia="en-US"/>
        </w:rPr>
        <w:t xml:space="preserve"> </w:t>
      </w:r>
      <w:proofErr w:type="spellStart"/>
      <w:r w:rsidRPr="0050721B">
        <w:rPr>
          <w:rFonts w:eastAsiaTheme="minorHAnsi"/>
          <w:lang w:val="en-US" w:eastAsia="en-US"/>
        </w:rPr>
        <w:t>proçesit</w:t>
      </w:r>
      <w:proofErr w:type="spellEnd"/>
      <w:r w:rsidRPr="0050721B">
        <w:rPr>
          <w:rFonts w:eastAsiaTheme="minorHAnsi"/>
          <w:lang w:val="en-US" w:eastAsia="en-US"/>
        </w:rPr>
        <w:t xml:space="preserve"> të PBA </w:t>
      </w:r>
      <w:proofErr w:type="spellStart"/>
      <w:r w:rsidR="00A312BA" w:rsidRPr="0050721B">
        <w:rPr>
          <w:rFonts w:eastAsiaTheme="minorHAnsi"/>
          <w:lang w:val="en-US" w:eastAsia="en-US"/>
        </w:rPr>
        <w:t>tre</w:t>
      </w:r>
      <w:proofErr w:type="spellEnd"/>
      <w:r w:rsidR="00A312BA" w:rsidRPr="0050721B">
        <w:rPr>
          <w:rFonts w:eastAsiaTheme="minorHAnsi"/>
          <w:lang w:val="en-US" w:eastAsia="en-US"/>
        </w:rPr>
        <w:t xml:space="preserve"> </w:t>
      </w:r>
      <w:proofErr w:type="spellStart"/>
      <w:r w:rsidR="00A312BA" w:rsidRPr="0050721B">
        <w:rPr>
          <w:rFonts w:eastAsiaTheme="minorHAnsi"/>
          <w:lang w:val="en-US" w:eastAsia="en-US"/>
        </w:rPr>
        <w:t>vje</w:t>
      </w:r>
      <w:r w:rsidR="00D3657C">
        <w:rPr>
          <w:rFonts w:eastAsiaTheme="minorHAnsi"/>
          <w:lang w:val="en-US" w:eastAsia="en-US"/>
        </w:rPr>
        <w:t>çar</w:t>
      </w:r>
      <w:proofErr w:type="spellEnd"/>
      <w:r w:rsidR="00D3657C">
        <w:rPr>
          <w:rFonts w:eastAsiaTheme="minorHAnsi"/>
          <w:lang w:val="en-US" w:eastAsia="en-US"/>
        </w:rPr>
        <w:t>,</w:t>
      </w:r>
      <w:r w:rsidRPr="0050721B">
        <w:rPr>
          <w:rFonts w:eastAsiaTheme="minorHAnsi"/>
          <w:lang w:val="en-US" w:eastAsia="en-US"/>
        </w:rPr>
        <w:t xml:space="preserve"> program </w:t>
      </w:r>
      <w:proofErr w:type="spellStart"/>
      <w:r w:rsidRPr="0050721B">
        <w:rPr>
          <w:rFonts w:eastAsiaTheme="minorHAnsi"/>
          <w:lang w:val="en-US" w:eastAsia="en-US"/>
        </w:rPr>
        <w:t>i</w:t>
      </w:r>
      <w:proofErr w:type="spellEnd"/>
      <w:r w:rsidRPr="0050721B">
        <w:rPr>
          <w:rFonts w:eastAsiaTheme="minorHAnsi"/>
          <w:lang w:val="en-US" w:eastAsia="en-US"/>
        </w:rPr>
        <w:t xml:space="preserve"> </w:t>
      </w:r>
      <w:proofErr w:type="spellStart"/>
      <w:r w:rsidRPr="0050721B">
        <w:rPr>
          <w:rFonts w:eastAsiaTheme="minorHAnsi"/>
          <w:lang w:val="en-US" w:eastAsia="en-US"/>
        </w:rPr>
        <w:t>cili</w:t>
      </w:r>
      <w:proofErr w:type="spellEnd"/>
      <w:r w:rsidRPr="0050721B">
        <w:rPr>
          <w:rFonts w:eastAsiaTheme="minorHAnsi"/>
          <w:lang w:val="en-US" w:eastAsia="en-US"/>
        </w:rPr>
        <w:t xml:space="preserve"> </w:t>
      </w:r>
      <w:proofErr w:type="spellStart"/>
      <w:r w:rsidRPr="0050721B">
        <w:rPr>
          <w:rFonts w:eastAsiaTheme="minorHAnsi"/>
          <w:lang w:val="en-US" w:eastAsia="en-US"/>
        </w:rPr>
        <w:t>konsiston</w:t>
      </w:r>
      <w:proofErr w:type="spellEnd"/>
      <w:r w:rsidRPr="0050721B">
        <w:rPr>
          <w:rFonts w:eastAsiaTheme="minorHAnsi"/>
          <w:lang w:val="en-US" w:eastAsia="en-US"/>
        </w:rPr>
        <w:t xml:space="preserve"> </w:t>
      </w:r>
      <w:proofErr w:type="spellStart"/>
      <w:r w:rsidRPr="0050721B">
        <w:rPr>
          <w:rFonts w:eastAsiaTheme="minorHAnsi"/>
          <w:lang w:val="en-US" w:eastAsia="en-US"/>
        </w:rPr>
        <w:t>në</w:t>
      </w:r>
      <w:proofErr w:type="spellEnd"/>
      <w:r w:rsidRPr="0050721B">
        <w:rPr>
          <w:rFonts w:eastAsiaTheme="minorHAnsi"/>
          <w:lang w:val="en-US" w:eastAsia="en-US"/>
        </w:rPr>
        <w:t xml:space="preserve"> </w:t>
      </w:r>
      <w:proofErr w:type="spellStart"/>
      <w:r w:rsidRPr="0050721B">
        <w:rPr>
          <w:rFonts w:eastAsiaTheme="minorHAnsi"/>
          <w:lang w:val="en-US" w:eastAsia="en-US"/>
        </w:rPr>
        <w:t>mbështetjen</w:t>
      </w:r>
      <w:proofErr w:type="spellEnd"/>
      <w:r w:rsidRPr="0050721B">
        <w:rPr>
          <w:rFonts w:eastAsiaTheme="minorHAnsi"/>
          <w:lang w:val="en-US" w:eastAsia="en-US"/>
        </w:rPr>
        <w:t xml:space="preserve"> me fonde buxhetore të </w:t>
      </w:r>
      <w:proofErr w:type="spellStart"/>
      <w:r w:rsidRPr="0050721B">
        <w:rPr>
          <w:rFonts w:eastAsiaTheme="minorHAnsi"/>
          <w:lang w:val="en-US" w:eastAsia="en-US"/>
        </w:rPr>
        <w:t>realizimit</w:t>
      </w:r>
      <w:proofErr w:type="spellEnd"/>
      <w:r w:rsidRPr="0050721B">
        <w:rPr>
          <w:rFonts w:eastAsiaTheme="minorHAnsi"/>
          <w:lang w:val="en-US" w:eastAsia="en-US"/>
        </w:rPr>
        <w:t xml:space="preserve"> të </w:t>
      </w:r>
      <w:proofErr w:type="spellStart"/>
      <w:r w:rsidRPr="0050721B">
        <w:rPr>
          <w:rFonts w:eastAsiaTheme="minorHAnsi"/>
          <w:lang w:val="en-US" w:eastAsia="en-US"/>
        </w:rPr>
        <w:t>misionit</w:t>
      </w:r>
      <w:proofErr w:type="spellEnd"/>
      <w:r w:rsidRPr="0050721B">
        <w:rPr>
          <w:rFonts w:eastAsiaTheme="minorHAnsi"/>
          <w:lang w:val="en-US" w:eastAsia="en-US"/>
        </w:rPr>
        <w:t xml:space="preserve"> </w:t>
      </w:r>
      <w:proofErr w:type="spellStart"/>
      <w:r w:rsidRPr="0050721B">
        <w:rPr>
          <w:rFonts w:eastAsiaTheme="minorHAnsi"/>
          <w:lang w:val="en-US" w:eastAsia="en-US"/>
        </w:rPr>
        <w:t>që</w:t>
      </w:r>
      <w:proofErr w:type="spellEnd"/>
      <w:r w:rsidRPr="0050721B">
        <w:rPr>
          <w:rFonts w:eastAsiaTheme="minorHAnsi"/>
          <w:lang w:val="en-US" w:eastAsia="en-US"/>
        </w:rPr>
        <w:t xml:space="preserve"> </w:t>
      </w:r>
      <w:proofErr w:type="spellStart"/>
      <w:r w:rsidRPr="0050721B">
        <w:rPr>
          <w:rFonts w:eastAsiaTheme="minorHAnsi"/>
          <w:lang w:val="en-US" w:eastAsia="en-US"/>
        </w:rPr>
        <w:t>ka</w:t>
      </w:r>
      <w:proofErr w:type="spellEnd"/>
      <w:r w:rsidRPr="0050721B">
        <w:rPr>
          <w:rFonts w:eastAsiaTheme="minorHAnsi"/>
          <w:lang w:val="en-US" w:eastAsia="en-US"/>
        </w:rPr>
        <w:t xml:space="preserve"> </w:t>
      </w:r>
      <w:proofErr w:type="spellStart"/>
      <w:r w:rsidRPr="0050721B">
        <w:rPr>
          <w:rFonts w:eastAsiaTheme="minorHAnsi"/>
          <w:lang w:val="en-US" w:eastAsia="en-US"/>
        </w:rPr>
        <w:t>Institucioni</w:t>
      </w:r>
      <w:proofErr w:type="spellEnd"/>
      <w:r w:rsidRPr="0050721B">
        <w:rPr>
          <w:rFonts w:eastAsiaTheme="minorHAnsi"/>
          <w:lang w:val="en-US" w:eastAsia="en-US"/>
        </w:rPr>
        <w:t xml:space="preserve"> </w:t>
      </w:r>
      <w:proofErr w:type="spellStart"/>
      <w:r w:rsidRPr="0050721B">
        <w:rPr>
          <w:rFonts w:eastAsiaTheme="minorHAnsi"/>
          <w:lang w:val="en-US" w:eastAsia="en-US"/>
        </w:rPr>
        <w:t>i</w:t>
      </w:r>
      <w:proofErr w:type="spellEnd"/>
      <w:r w:rsidRPr="0050721B">
        <w:rPr>
          <w:rFonts w:eastAsiaTheme="minorHAnsi"/>
          <w:lang w:val="en-US" w:eastAsia="en-US"/>
        </w:rPr>
        <w:t xml:space="preserve"> </w:t>
      </w:r>
      <w:proofErr w:type="spellStart"/>
      <w:r w:rsidRPr="0050721B">
        <w:rPr>
          <w:rFonts w:eastAsiaTheme="minorHAnsi"/>
          <w:lang w:val="en-US" w:eastAsia="en-US"/>
        </w:rPr>
        <w:t>Zyr</w:t>
      </w:r>
      <w:r w:rsidR="0086445A" w:rsidRPr="0050721B">
        <w:rPr>
          <w:rFonts w:eastAsiaTheme="minorHAnsi"/>
          <w:lang w:val="en-US" w:eastAsia="en-US"/>
        </w:rPr>
        <w:t>ë</w:t>
      </w:r>
      <w:r w:rsidRPr="0050721B">
        <w:rPr>
          <w:rFonts w:eastAsiaTheme="minorHAnsi"/>
          <w:lang w:val="en-US" w:eastAsia="en-US"/>
        </w:rPr>
        <w:t>s</w:t>
      </w:r>
      <w:proofErr w:type="spellEnd"/>
      <w:r w:rsidRPr="0050721B">
        <w:rPr>
          <w:rFonts w:eastAsiaTheme="minorHAnsi"/>
          <w:lang w:val="en-US" w:eastAsia="en-US"/>
        </w:rPr>
        <w:t xml:space="preserve"> </w:t>
      </w:r>
      <w:proofErr w:type="spellStart"/>
      <w:r w:rsidRPr="0050721B">
        <w:rPr>
          <w:rFonts w:eastAsiaTheme="minorHAnsi"/>
          <w:lang w:val="en-US" w:eastAsia="en-US"/>
        </w:rPr>
        <w:t>s</w:t>
      </w:r>
      <w:r w:rsidR="0086445A" w:rsidRPr="0050721B">
        <w:rPr>
          <w:rFonts w:eastAsiaTheme="minorHAnsi"/>
          <w:lang w:val="en-US" w:eastAsia="en-US"/>
        </w:rPr>
        <w:t>ë</w:t>
      </w:r>
      <w:proofErr w:type="spellEnd"/>
      <w:r w:rsidRPr="0050721B">
        <w:rPr>
          <w:rFonts w:eastAsiaTheme="minorHAnsi"/>
          <w:lang w:val="en-US" w:eastAsia="en-US"/>
        </w:rPr>
        <w:t xml:space="preserve"> </w:t>
      </w:r>
      <w:proofErr w:type="spellStart"/>
      <w:r w:rsidRPr="0050721B">
        <w:rPr>
          <w:rFonts w:eastAsiaTheme="minorHAnsi"/>
          <w:lang w:val="en-US" w:eastAsia="en-US"/>
        </w:rPr>
        <w:t>Komisionerit</w:t>
      </w:r>
      <w:proofErr w:type="spellEnd"/>
      <w:r w:rsidR="00A312BA" w:rsidRPr="0050721B">
        <w:rPr>
          <w:rFonts w:eastAsiaTheme="minorHAnsi"/>
          <w:lang w:val="en-US" w:eastAsia="en-US"/>
        </w:rPr>
        <w:t>.</w:t>
      </w:r>
      <w:r w:rsidRPr="0050721B">
        <w:rPr>
          <w:rFonts w:eastAsiaTheme="minorHAnsi"/>
          <w:lang w:val="en-US" w:eastAsia="en-US"/>
        </w:rPr>
        <w:t xml:space="preserve"> </w:t>
      </w:r>
    </w:p>
    <w:p w:rsidR="008233D2" w:rsidRPr="0050721B" w:rsidRDefault="008233D2" w:rsidP="0050721B">
      <w:pPr>
        <w:spacing w:line="276" w:lineRule="auto"/>
        <w:jc w:val="both"/>
      </w:pPr>
      <w:r w:rsidRPr="0050721B">
        <w:t>Zyra e Komisionerit, edhe pse nuk është përfshirë në modulin e monitorimit në AFMIS ka përgatitur raportimin dhe vlerësi</w:t>
      </w:r>
      <w:r w:rsidR="00A312BA" w:rsidRPr="0050721B">
        <w:t xml:space="preserve">min e treguesve të performancës/produkteve </w:t>
      </w:r>
      <w:r w:rsidRPr="0050721B">
        <w:t>të synuar me treguesit faktik të realizuar, në zbatim të Udhëzimit t</w:t>
      </w:r>
      <w:r w:rsidR="00156B2A" w:rsidRPr="0050721B">
        <w:t>ë MFE nr. 14, datë 30.05.2023 “</w:t>
      </w:r>
      <w:r w:rsidRPr="0050721B">
        <w:t>Për procedurat standarde të monitorimit të buxhetit në nj</w:t>
      </w:r>
      <w:r w:rsidR="00156B2A" w:rsidRPr="0050721B">
        <w:t>ësitë</w:t>
      </w:r>
      <w:r w:rsidRPr="0050721B">
        <w:t xml:space="preserve"> e qeverisjes Qendrore”</w:t>
      </w:r>
      <w:r w:rsidR="00BA7F80" w:rsidRPr="0050721B">
        <w:t>, n</w:t>
      </w:r>
      <w:r w:rsidR="00156B2A" w:rsidRPr="0050721B">
        <w:t>ë</w:t>
      </w:r>
      <w:r w:rsidR="00BA7F80" w:rsidRPr="0050721B">
        <w:t xml:space="preserve"> respektim edhe të </w:t>
      </w:r>
      <w:r w:rsidRPr="0050721B">
        <w:t>sugjerimeve tuaja të ko</w:t>
      </w:r>
      <w:r w:rsidR="00156B2A" w:rsidRPr="0050721B">
        <w:t>nstatuara në raportimin Janar-</w:t>
      </w:r>
      <w:r w:rsidR="000B78A2" w:rsidRPr="0050721B">
        <w:t xml:space="preserve">Dhjetor </w:t>
      </w:r>
      <w:r w:rsidRPr="0050721B">
        <w:t xml:space="preserve">2024. </w:t>
      </w:r>
    </w:p>
    <w:p w:rsidR="003B3367" w:rsidRPr="0050721B" w:rsidRDefault="003B3367" w:rsidP="0050721B">
      <w:pPr>
        <w:spacing w:line="276" w:lineRule="auto"/>
        <w:jc w:val="both"/>
      </w:pPr>
    </w:p>
    <w:p w:rsidR="003B3367" w:rsidRPr="0050721B" w:rsidRDefault="003B3367" w:rsidP="0050721B">
      <w:pPr>
        <w:pStyle w:val="ListParagraph"/>
        <w:spacing w:after="120"/>
        <w:ind w:left="0"/>
        <w:contextualSpacing w:val="0"/>
        <w:jc w:val="both"/>
        <w:rPr>
          <w:rFonts w:ascii="Times New Roman" w:hAnsi="Times New Roman"/>
          <w:sz w:val="24"/>
          <w:szCs w:val="24"/>
        </w:rPr>
      </w:pPr>
      <w:r w:rsidRPr="0050721B">
        <w:rPr>
          <w:rFonts w:ascii="Times New Roman" w:eastAsiaTheme="minorHAnsi" w:hAnsi="Times New Roman"/>
          <w:b/>
          <w:bCs/>
          <w:iCs/>
          <w:sz w:val="24"/>
          <w:szCs w:val="24"/>
          <w:lang w:val="en-US"/>
        </w:rPr>
        <w:lastRenderedPageBreak/>
        <w:t>II.1</w:t>
      </w:r>
      <w:r w:rsidRPr="0050721B">
        <w:rPr>
          <w:rFonts w:ascii="Times New Roman" w:eastAsiaTheme="minorHAnsi" w:hAnsi="Times New Roman"/>
          <w:b/>
          <w:bCs/>
          <w:i/>
          <w:iCs/>
          <w:sz w:val="24"/>
          <w:szCs w:val="24"/>
          <w:lang w:val="en-US"/>
        </w:rPr>
        <w:t xml:space="preserve"> </w:t>
      </w:r>
      <w:proofErr w:type="spellStart"/>
      <w:r w:rsidRPr="0050721B">
        <w:rPr>
          <w:rFonts w:ascii="Times New Roman" w:eastAsiaTheme="minorHAnsi" w:hAnsi="Times New Roman"/>
          <w:b/>
          <w:bCs/>
          <w:iCs/>
          <w:sz w:val="24"/>
          <w:szCs w:val="24"/>
          <w:lang w:val="en-US"/>
        </w:rPr>
        <w:t>Tabela</w:t>
      </w:r>
      <w:proofErr w:type="spellEnd"/>
      <w:r w:rsidRPr="0050721B">
        <w:rPr>
          <w:rFonts w:ascii="Times New Roman" w:eastAsiaTheme="minorHAnsi" w:hAnsi="Times New Roman"/>
          <w:b/>
          <w:bCs/>
          <w:iCs/>
          <w:sz w:val="24"/>
          <w:szCs w:val="24"/>
          <w:lang w:val="en-US"/>
        </w:rPr>
        <w:t xml:space="preserve"> e </w:t>
      </w:r>
      <w:proofErr w:type="spellStart"/>
      <w:r w:rsidRPr="0050721B">
        <w:rPr>
          <w:rFonts w:ascii="Times New Roman" w:eastAsiaTheme="minorHAnsi" w:hAnsi="Times New Roman"/>
          <w:b/>
          <w:bCs/>
          <w:iCs/>
          <w:sz w:val="24"/>
          <w:szCs w:val="24"/>
          <w:lang w:val="en-US"/>
        </w:rPr>
        <w:t>p</w:t>
      </w:r>
      <w:r w:rsidR="0086445A" w:rsidRPr="0050721B">
        <w:rPr>
          <w:rFonts w:ascii="Times New Roman" w:eastAsiaTheme="minorHAnsi" w:hAnsi="Times New Roman"/>
          <w:b/>
          <w:bCs/>
          <w:iCs/>
          <w:sz w:val="24"/>
          <w:szCs w:val="24"/>
          <w:lang w:val="en-US"/>
        </w:rPr>
        <w:t>ë</w:t>
      </w:r>
      <w:r w:rsidRPr="0050721B">
        <w:rPr>
          <w:rFonts w:ascii="Times New Roman" w:eastAsiaTheme="minorHAnsi" w:hAnsi="Times New Roman"/>
          <w:b/>
          <w:bCs/>
          <w:iCs/>
          <w:sz w:val="24"/>
          <w:szCs w:val="24"/>
          <w:lang w:val="en-US"/>
        </w:rPr>
        <w:t>rmbledhur</w:t>
      </w:r>
      <w:proofErr w:type="spellEnd"/>
      <w:r w:rsidRPr="0050721B">
        <w:rPr>
          <w:rFonts w:ascii="Times New Roman" w:eastAsiaTheme="minorHAnsi" w:hAnsi="Times New Roman"/>
          <w:b/>
          <w:bCs/>
          <w:iCs/>
          <w:sz w:val="24"/>
          <w:szCs w:val="24"/>
          <w:lang w:val="en-US"/>
        </w:rPr>
        <w:t xml:space="preserve"> </w:t>
      </w:r>
      <w:r w:rsidR="00D3657C">
        <w:rPr>
          <w:rFonts w:ascii="Times New Roman" w:eastAsiaTheme="minorHAnsi" w:hAnsi="Times New Roman"/>
          <w:b/>
          <w:bCs/>
          <w:iCs/>
          <w:sz w:val="24"/>
          <w:szCs w:val="24"/>
          <w:lang w:val="en-US"/>
        </w:rPr>
        <w:t xml:space="preserve">e </w:t>
      </w:r>
      <w:proofErr w:type="spellStart"/>
      <w:r w:rsidR="00D3657C">
        <w:rPr>
          <w:rFonts w:ascii="Times New Roman" w:eastAsiaTheme="minorHAnsi" w:hAnsi="Times New Roman"/>
          <w:b/>
          <w:bCs/>
          <w:iCs/>
          <w:sz w:val="24"/>
          <w:szCs w:val="24"/>
          <w:lang w:val="en-US"/>
        </w:rPr>
        <w:t>planifikimit</w:t>
      </w:r>
      <w:proofErr w:type="spellEnd"/>
      <w:r w:rsidR="00D3657C">
        <w:rPr>
          <w:rFonts w:ascii="Times New Roman" w:eastAsiaTheme="minorHAnsi" w:hAnsi="Times New Roman"/>
          <w:b/>
          <w:bCs/>
          <w:iCs/>
          <w:sz w:val="24"/>
          <w:szCs w:val="24"/>
          <w:lang w:val="en-US"/>
        </w:rPr>
        <w:t xml:space="preserve"> </w:t>
      </w:r>
      <w:proofErr w:type="spellStart"/>
      <w:r w:rsidR="00D3657C">
        <w:rPr>
          <w:rFonts w:ascii="Times New Roman" w:eastAsiaTheme="minorHAnsi" w:hAnsi="Times New Roman"/>
          <w:b/>
          <w:bCs/>
          <w:iCs/>
          <w:sz w:val="24"/>
          <w:szCs w:val="24"/>
          <w:lang w:val="en-US"/>
        </w:rPr>
        <w:t>buxhetor</w:t>
      </w:r>
      <w:proofErr w:type="spellEnd"/>
      <w:r w:rsidR="00D3657C">
        <w:rPr>
          <w:rFonts w:ascii="Times New Roman" w:eastAsiaTheme="minorHAnsi" w:hAnsi="Times New Roman"/>
          <w:b/>
          <w:bCs/>
          <w:iCs/>
          <w:sz w:val="24"/>
          <w:szCs w:val="24"/>
          <w:lang w:val="en-US"/>
        </w:rPr>
        <w:t xml:space="preserve"> </w:t>
      </w:r>
      <w:proofErr w:type="spellStart"/>
      <w:r w:rsidRPr="0050721B">
        <w:rPr>
          <w:rFonts w:ascii="Times New Roman" w:eastAsiaTheme="minorHAnsi" w:hAnsi="Times New Roman"/>
          <w:b/>
          <w:bCs/>
          <w:iCs/>
          <w:sz w:val="24"/>
          <w:szCs w:val="24"/>
          <w:lang w:val="en-US"/>
        </w:rPr>
        <w:t>sipas</w:t>
      </w:r>
      <w:proofErr w:type="spellEnd"/>
      <w:r w:rsidRPr="0050721B">
        <w:rPr>
          <w:rFonts w:ascii="Times New Roman" w:eastAsiaTheme="minorHAnsi" w:hAnsi="Times New Roman"/>
          <w:b/>
          <w:bCs/>
          <w:iCs/>
          <w:sz w:val="24"/>
          <w:szCs w:val="24"/>
          <w:lang w:val="en-US"/>
        </w:rPr>
        <w:t xml:space="preserve"> </w:t>
      </w:r>
      <w:proofErr w:type="spellStart"/>
      <w:r w:rsidRPr="0050721B">
        <w:rPr>
          <w:rFonts w:ascii="Times New Roman" w:eastAsiaTheme="minorHAnsi" w:hAnsi="Times New Roman"/>
          <w:b/>
          <w:bCs/>
          <w:iCs/>
          <w:sz w:val="24"/>
          <w:szCs w:val="24"/>
          <w:lang w:val="en-US"/>
        </w:rPr>
        <w:t>programit</w:t>
      </w:r>
      <w:proofErr w:type="spellEnd"/>
      <w:r w:rsidR="00F844DC" w:rsidRPr="0050721B">
        <w:rPr>
          <w:rFonts w:ascii="Times New Roman" w:eastAsiaTheme="minorHAnsi" w:hAnsi="Times New Roman"/>
          <w:b/>
          <w:bCs/>
          <w:iCs/>
          <w:sz w:val="24"/>
          <w:szCs w:val="24"/>
          <w:lang w:val="en-US"/>
        </w:rPr>
        <w:t>.</w:t>
      </w:r>
      <w:r w:rsidRPr="0050721B">
        <w:rPr>
          <w:rFonts w:ascii="Times New Roman" w:eastAsiaTheme="minorHAnsi" w:hAnsi="Times New Roman"/>
          <w:b/>
          <w:bCs/>
          <w:iCs/>
          <w:sz w:val="24"/>
          <w:szCs w:val="24"/>
          <w:lang w:val="en-US"/>
        </w:rPr>
        <w:t xml:space="preserve"> </w:t>
      </w:r>
    </w:p>
    <w:p w:rsidR="003B3367" w:rsidRPr="0050721B" w:rsidRDefault="0086445A" w:rsidP="0050721B">
      <w:pPr>
        <w:pStyle w:val="Title"/>
        <w:spacing w:after="40" w:line="276" w:lineRule="auto"/>
        <w:jc w:val="both"/>
        <w:rPr>
          <w:rFonts w:ascii="Times New Roman"/>
          <w:color w:val="0D0D0D" w:themeColor="text1" w:themeTint="F2"/>
          <w:sz w:val="24"/>
          <w:szCs w:val="24"/>
        </w:rPr>
      </w:pPr>
      <w:r w:rsidRPr="0050721B">
        <w:rPr>
          <w:rFonts w:ascii="Times New Roman"/>
          <w:color w:val="0D0D0D" w:themeColor="text1" w:themeTint="F2"/>
          <w:sz w:val="24"/>
          <w:szCs w:val="24"/>
        </w:rPr>
        <w:t>S</w:t>
      </w:r>
      <w:r w:rsidR="003B3367" w:rsidRPr="0050721B">
        <w:rPr>
          <w:rFonts w:ascii="Times New Roman"/>
          <w:color w:val="0D0D0D" w:themeColor="text1" w:themeTint="F2"/>
          <w:sz w:val="24"/>
          <w:szCs w:val="24"/>
        </w:rPr>
        <w:t>istemi</w:t>
      </w:r>
      <w:r w:rsidRPr="0050721B">
        <w:rPr>
          <w:rFonts w:ascii="Times New Roman"/>
          <w:color w:val="0D0D0D" w:themeColor="text1" w:themeTint="F2"/>
          <w:sz w:val="24"/>
          <w:szCs w:val="24"/>
        </w:rPr>
        <w:t xml:space="preserve"> i</w:t>
      </w:r>
      <w:r w:rsidR="003B3367" w:rsidRPr="0050721B">
        <w:rPr>
          <w:rFonts w:ascii="Times New Roman"/>
          <w:color w:val="0D0D0D" w:themeColor="text1" w:themeTint="F2"/>
          <w:sz w:val="24"/>
          <w:szCs w:val="24"/>
        </w:rPr>
        <w:t xml:space="preserve"> menaxhimit financiar dhe kontrollit, </w:t>
      </w:r>
      <w:r w:rsidRPr="0050721B">
        <w:rPr>
          <w:rFonts w:ascii="Times New Roman"/>
          <w:color w:val="0D0D0D" w:themeColor="text1" w:themeTint="F2"/>
          <w:sz w:val="24"/>
          <w:szCs w:val="24"/>
        </w:rPr>
        <w:t xml:space="preserve">është ngritur dhe </w:t>
      </w:r>
      <w:r w:rsidR="003B3367" w:rsidRPr="0050721B">
        <w:rPr>
          <w:rFonts w:ascii="Times New Roman"/>
          <w:color w:val="0D0D0D" w:themeColor="text1" w:themeTint="F2"/>
          <w:sz w:val="24"/>
          <w:szCs w:val="24"/>
        </w:rPr>
        <w:t>mbështet</w:t>
      </w:r>
      <w:r w:rsidRPr="0050721B">
        <w:rPr>
          <w:rFonts w:ascii="Times New Roman"/>
          <w:color w:val="0D0D0D" w:themeColor="text1" w:themeTint="F2"/>
          <w:sz w:val="24"/>
          <w:szCs w:val="24"/>
        </w:rPr>
        <w:t xml:space="preserve">et </w:t>
      </w:r>
      <w:r w:rsidR="003B3367" w:rsidRPr="0050721B">
        <w:rPr>
          <w:rFonts w:ascii="Times New Roman"/>
          <w:color w:val="0D0D0D" w:themeColor="text1" w:themeTint="F2"/>
          <w:sz w:val="24"/>
          <w:szCs w:val="24"/>
        </w:rPr>
        <w:t>në Ligjin nr.10296, datë 8.07.2010 “Mbi menaxhimin financiar e kontrollin”, i ndryshuar si dhe në parimet e menaxhimit të fondeve publike me efektivitetet, transparencë, ekonomi dhe efiçensë.</w:t>
      </w:r>
    </w:p>
    <w:p w:rsidR="00C31345" w:rsidRPr="0050721B" w:rsidRDefault="00C31345" w:rsidP="0050721B">
      <w:pPr>
        <w:spacing w:line="276" w:lineRule="auto"/>
        <w:jc w:val="both"/>
      </w:pPr>
      <w:r w:rsidRPr="0050721B">
        <w:t>Realizimi buxhetor ka qenë në përputhje me planin mujor dhe vjetor, duke arritur mbi 95% të planit të miratuar. Gjithashtu janë evidentuar kursime në disa procedura prokurimi, të cilat kanë ndikuar pozitivisht në eficiencën e përdorimit të fondeve.</w:t>
      </w:r>
    </w:p>
    <w:p w:rsidR="00C31345" w:rsidRPr="0050721B" w:rsidRDefault="00C31345" w:rsidP="0050721B">
      <w:pPr>
        <w:pStyle w:val="Title"/>
        <w:spacing w:after="40" w:line="276" w:lineRule="auto"/>
        <w:jc w:val="both"/>
        <w:rPr>
          <w:rFonts w:ascii="Times New Roman"/>
          <w:color w:val="0D0D0D" w:themeColor="text1" w:themeTint="F2"/>
          <w:sz w:val="24"/>
          <w:szCs w:val="24"/>
        </w:rPr>
      </w:pPr>
    </w:p>
    <w:p w:rsidR="003B3367" w:rsidRPr="00E76D5D" w:rsidRDefault="003B3367" w:rsidP="0050721B">
      <w:pPr>
        <w:spacing w:line="276" w:lineRule="auto"/>
        <w:jc w:val="both"/>
        <w:rPr>
          <w:rFonts w:eastAsia="Batang"/>
          <w:bCs/>
          <w:i/>
          <w:color w:val="1D1B11" w:themeColor="background2" w:themeShade="1A"/>
          <w:lang w:val="pt-BR"/>
        </w:rPr>
      </w:pPr>
      <w:r w:rsidRPr="0050721B">
        <w:rPr>
          <w:color w:val="1D1B11" w:themeColor="background2" w:themeShade="1A"/>
        </w:rPr>
        <w:t>Në mbështetje të Ligjit nr.115/2024“Për buxhetin e vitit 202</w:t>
      </w:r>
      <w:r w:rsidR="00D3657C">
        <w:rPr>
          <w:color w:val="1D1B11" w:themeColor="background2" w:themeShade="1A"/>
        </w:rPr>
        <w:t xml:space="preserve">5”, dhe në vijim të udhëzimeve </w:t>
      </w:r>
      <w:r w:rsidRPr="0050721B">
        <w:rPr>
          <w:color w:val="1D1B11" w:themeColor="background2" w:themeShade="1A"/>
        </w:rPr>
        <w:t>të Ministrit të Financave dhe Ekonomisë nr. 9, datë 20.07.2018, “Procedurat standarde të zbatimit të buxhetit” i ndryshuar</w:t>
      </w:r>
      <w:r w:rsidR="00B41105">
        <w:rPr>
          <w:color w:val="1D1B11" w:themeColor="background2" w:themeShade="1A"/>
        </w:rPr>
        <w:t xml:space="preserve">, akteve Normative  për ndryshim </w:t>
      </w:r>
      <w:r w:rsidR="00D3657C">
        <w:rPr>
          <w:color w:val="1D1B11" w:themeColor="background2" w:themeShade="1A"/>
        </w:rPr>
        <w:t xml:space="preserve">të  buxhetit gjatë vitit 2025, </w:t>
      </w:r>
      <w:r w:rsidRPr="0050721B">
        <w:rPr>
          <w:color w:val="1D1B11" w:themeColor="background2" w:themeShade="1A"/>
        </w:rPr>
        <w:t>Udhëzimit plotësues nr.2, datë 24.01.2025</w:t>
      </w:r>
      <w:r w:rsidR="0086445A" w:rsidRPr="0050721B">
        <w:rPr>
          <w:color w:val="1D1B11" w:themeColor="background2" w:themeShade="1A"/>
        </w:rPr>
        <w:t xml:space="preserve"> </w:t>
      </w:r>
      <w:r w:rsidRPr="0050721B">
        <w:rPr>
          <w:color w:val="1D1B11" w:themeColor="background2" w:themeShade="1A"/>
        </w:rPr>
        <w:t>“Për zbati</w:t>
      </w:r>
      <w:r w:rsidR="00D3657C">
        <w:rPr>
          <w:color w:val="1D1B11" w:themeColor="background2" w:themeShade="1A"/>
        </w:rPr>
        <w:t xml:space="preserve">min e buxhetit të vitit 2025”, </w:t>
      </w:r>
      <w:proofErr w:type="spellStart"/>
      <w:r w:rsidRPr="0050721B">
        <w:rPr>
          <w:color w:val="1D1B11" w:themeColor="background2" w:themeShade="1A"/>
          <w:lang w:val="en-US"/>
        </w:rPr>
        <w:t>fondet</w:t>
      </w:r>
      <w:proofErr w:type="spellEnd"/>
      <w:r w:rsidRPr="0050721B">
        <w:rPr>
          <w:color w:val="1D1B11" w:themeColor="background2" w:themeShade="1A"/>
          <w:lang w:val="en-US"/>
        </w:rPr>
        <w:t xml:space="preserve"> e </w:t>
      </w:r>
      <w:proofErr w:type="spellStart"/>
      <w:r w:rsidRPr="0050721B">
        <w:rPr>
          <w:color w:val="1D1B11" w:themeColor="background2" w:themeShade="1A"/>
          <w:lang w:val="en-US"/>
        </w:rPr>
        <w:t>akorduara</w:t>
      </w:r>
      <w:proofErr w:type="spellEnd"/>
      <w:r w:rsidRPr="0050721B">
        <w:rPr>
          <w:color w:val="1D1B11" w:themeColor="background2" w:themeShade="1A"/>
          <w:lang w:val="en-US"/>
        </w:rPr>
        <w:t xml:space="preserve"> për </w:t>
      </w:r>
      <w:proofErr w:type="spellStart"/>
      <w:r w:rsidRPr="0050721B">
        <w:rPr>
          <w:color w:val="1D1B11" w:themeColor="background2" w:themeShade="1A"/>
          <w:lang w:val="en-US"/>
        </w:rPr>
        <w:t>Zyrën</w:t>
      </w:r>
      <w:proofErr w:type="spellEnd"/>
      <w:r w:rsidRPr="0050721B">
        <w:rPr>
          <w:color w:val="1D1B11" w:themeColor="background2" w:themeShade="1A"/>
          <w:lang w:val="en-US"/>
        </w:rPr>
        <w:t xml:space="preserve"> </w:t>
      </w:r>
      <w:r w:rsidR="0086445A" w:rsidRPr="0050721B">
        <w:rPr>
          <w:color w:val="1D1B11" w:themeColor="background2" w:themeShade="1A"/>
          <w:lang w:val="en-US"/>
        </w:rPr>
        <w:t xml:space="preserve">e </w:t>
      </w:r>
      <w:proofErr w:type="spellStart"/>
      <w:r w:rsidR="0086445A" w:rsidRPr="0050721B">
        <w:rPr>
          <w:color w:val="1D1B11" w:themeColor="background2" w:themeShade="1A"/>
          <w:lang w:val="en-US"/>
        </w:rPr>
        <w:t>Komisionerit</w:t>
      </w:r>
      <w:proofErr w:type="spellEnd"/>
      <w:r w:rsidR="0086445A" w:rsidRPr="0050721B">
        <w:rPr>
          <w:color w:val="1D1B11" w:themeColor="background2" w:themeShade="1A"/>
          <w:lang w:val="en-US"/>
        </w:rPr>
        <w:t xml:space="preserve">, </w:t>
      </w:r>
      <w:proofErr w:type="spellStart"/>
      <w:r w:rsidR="0086445A" w:rsidRPr="0050721B">
        <w:rPr>
          <w:color w:val="1D1B11" w:themeColor="background2" w:themeShade="1A"/>
          <w:lang w:val="en-US"/>
        </w:rPr>
        <w:t>në</w:t>
      </w:r>
      <w:proofErr w:type="spellEnd"/>
      <w:r w:rsidR="0086445A" w:rsidRPr="0050721B">
        <w:rPr>
          <w:color w:val="1D1B11" w:themeColor="background2" w:themeShade="1A"/>
          <w:lang w:val="en-US"/>
        </w:rPr>
        <w:t xml:space="preserve"> total </w:t>
      </w:r>
      <w:proofErr w:type="spellStart"/>
      <w:r w:rsidR="0086445A" w:rsidRPr="0050721B">
        <w:rPr>
          <w:color w:val="1D1B11" w:themeColor="background2" w:themeShade="1A"/>
          <w:lang w:val="en-US"/>
        </w:rPr>
        <w:t>janë</w:t>
      </w:r>
      <w:proofErr w:type="spellEnd"/>
      <w:r w:rsidR="0086445A" w:rsidRPr="0050721B">
        <w:rPr>
          <w:color w:val="1D1B11" w:themeColor="background2" w:themeShade="1A"/>
          <w:lang w:val="en-US"/>
        </w:rPr>
        <w:t xml:space="preserve"> </w:t>
      </w:r>
      <w:proofErr w:type="spellStart"/>
      <w:r w:rsidRPr="0050721B">
        <w:rPr>
          <w:color w:val="1D1B11" w:themeColor="background2" w:themeShade="1A"/>
          <w:lang w:val="en-US"/>
        </w:rPr>
        <w:t>në</w:t>
      </w:r>
      <w:proofErr w:type="spellEnd"/>
      <w:r w:rsidRPr="0050721B">
        <w:rPr>
          <w:color w:val="1D1B11" w:themeColor="background2" w:themeShade="1A"/>
          <w:lang w:val="en-US"/>
        </w:rPr>
        <w:t xml:space="preserve"> </w:t>
      </w:r>
      <w:proofErr w:type="spellStart"/>
      <w:r w:rsidRPr="0050721B">
        <w:rPr>
          <w:color w:val="1D1B11" w:themeColor="background2" w:themeShade="1A"/>
          <w:lang w:val="en-US"/>
        </w:rPr>
        <w:t>vlerën</w:t>
      </w:r>
      <w:proofErr w:type="spellEnd"/>
      <w:r w:rsidRPr="0050721B">
        <w:rPr>
          <w:color w:val="1D1B11" w:themeColor="background2" w:themeShade="1A"/>
          <w:lang w:val="en-US"/>
        </w:rPr>
        <w:t xml:space="preserve"> </w:t>
      </w:r>
      <w:r w:rsidR="00B41105">
        <w:rPr>
          <w:bCs/>
          <w:iCs/>
          <w:color w:val="1D1B11" w:themeColor="background2" w:themeShade="1A"/>
          <w:lang w:val="pt-BR"/>
        </w:rPr>
        <w:t>174.450</w:t>
      </w:r>
      <w:r w:rsidRPr="0050721B">
        <w:rPr>
          <w:bCs/>
          <w:iCs/>
          <w:color w:val="1D1B11" w:themeColor="background2" w:themeShade="1A"/>
          <w:lang w:val="pt-BR"/>
        </w:rPr>
        <w:t xml:space="preserve"> </w:t>
      </w:r>
      <w:r w:rsidRPr="0050721B">
        <w:rPr>
          <w:b/>
          <w:bCs/>
          <w:i/>
          <w:iCs/>
          <w:color w:val="1D1B11" w:themeColor="background2" w:themeShade="1A"/>
          <w:lang w:val="pt-BR"/>
        </w:rPr>
        <w:t> </w:t>
      </w:r>
      <w:r w:rsidRPr="0050721B">
        <w:rPr>
          <w:color w:val="1D1B11" w:themeColor="background2" w:themeShade="1A"/>
          <w:lang w:val="en-US"/>
        </w:rPr>
        <w:t>(</w:t>
      </w:r>
      <w:proofErr w:type="spellStart"/>
      <w:r w:rsidRPr="0050721B">
        <w:rPr>
          <w:color w:val="1D1B11" w:themeColor="background2" w:themeShade="1A"/>
          <w:lang w:val="en-US"/>
        </w:rPr>
        <w:t>mijë</w:t>
      </w:r>
      <w:proofErr w:type="spellEnd"/>
      <w:r w:rsidRPr="0050721B">
        <w:rPr>
          <w:color w:val="1D1B11" w:themeColor="background2" w:themeShade="1A"/>
          <w:lang w:val="en-US"/>
        </w:rPr>
        <w:t xml:space="preserve"> </w:t>
      </w:r>
      <w:proofErr w:type="spellStart"/>
      <w:r w:rsidRPr="0050721B">
        <w:rPr>
          <w:color w:val="1D1B11" w:themeColor="background2" w:themeShade="1A"/>
          <w:lang w:val="en-US"/>
        </w:rPr>
        <w:t>lekë</w:t>
      </w:r>
      <w:proofErr w:type="spellEnd"/>
      <w:r w:rsidRPr="0050721B">
        <w:rPr>
          <w:color w:val="1D1B11" w:themeColor="background2" w:themeShade="1A"/>
          <w:lang w:val="en-US"/>
        </w:rPr>
        <w:t>)</w:t>
      </w:r>
      <w:r w:rsidR="00A312BA" w:rsidRPr="0050721B">
        <w:rPr>
          <w:color w:val="1D1B11" w:themeColor="background2" w:themeShade="1A"/>
          <w:lang w:val="en-US"/>
        </w:rPr>
        <w:t xml:space="preserve">, </w:t>
      </w:r>
      <w:proofErr w:type="spellStart"/>
      <w:r w:rsidR="00A312BA" w:rsidRPr="0050721B">
        <w:rPr>
          <w:color w:val="1D1B11" w:themeColor="background2" w:themeShade="1A"/>
          <w:lang w:val="en-US"/>
        </w:rPr>
        <w:t>përfshirë</w:t>
      </w:r>
      <w:proofErr w:type="spellEnd"/>
      <w:r w:rsidR="00A312BA" w:rsidRPr="0050721B">
        <w:rPr>
          <w:color w:val="1D1B11" w:themeColor="background2" w:themeShade="1A"/>
          <w:lang w:val="en-US"/>
        </w:rPr>
        <w:t xml:space="preserve"> </w:t>
      </w:r>
      <w:proofErr w:type="spellStart"/>
      <w:r w:rsidR="00A312BA" w:rsidRPr="0050721B">
        <w:rPr>
          <w:color w:val="1D1B11" w:themeColor="background2" w:themeShade="1A"/>
          <w:lang w:val="en-US"/>
        </w:rPr>
        <w:t>këtu</w:t>
      </w:r>
      <w:proofErr w:type="spellEnd"/>
      <w:r w:rsidR="00A312BA" w:rsidRPr="0050721B">
        <w:rPr>
          <w:color w:val="1D1B11" w:themeColor="background2" w:themeShade="1A"/>
          <w:lang w:val="en-US"/>
        </w:rPr>
        <w:t xml:space="preserve"> </w:t>
      </w:r>
      <w:proofErr w:type="spellStart"/>
      <w:r w:rsidR="00A312BA" w:rsidRPr="0050721B">
        <w:rPr>
          <w:color w:val="1D1B11" w:themeColor="background2" w:themeShade="1A"/>
          <w:lang w:val="en-US"/>
        </w:rPr>
        <w:t>edhe</w:t>
      </w:r>
      <w:proofErr w:type="spellEnd"/>
      <w:r w:rsidR="00A312BA" w:rsidRPr="0050721B">
        <w:rPr>
          <w:color w:val="1D1B11" w:themeColor="background2" w:themeShade="1A"/>
          <w:lang w:val="en-US"/>
        </w:rPr>
        <w:t xml:space="preserve"> </w:t>
      </w:r>
      <w:proofErr w:type="spellStart"/>
      <w:r w:rsidR="00A312BA" w:rsidRPr="0050721B">
        <w:rPr>
          <w:color w:val="1D1B11" w:themeColor="background2" w:themeShade="1A"/>
          <w:lang w:val="en-US"/>
        </w:rPr>
        <w:t>fondin</w:t>
      </w:r>
      <w:proofErr w:type="spellEnd"/>
      <w:r w:rsidR="00A312BA" w:rsidRPr="0050721B">
        <w:rPr>
          <w:color w:val="1D1B11" w:themeColor="background2" w:themeShade="1A"/>
          <w:lang w:val="en-US"/>
        </w:rPr>
        <w:t xml:space="preserve"> e </w:t>
      </w:r>
      <w:proofErr w:type="spellStart"/>
      <w:r w:rsidR="00A312BA" w:rsidRPr="0050721B">
        <w:rPr>
          <w:color w:val="1D1B11" w:themeColor="background2" w:themeShade="1A"/>
          <w:lang w:val="en-US"/>
        </w:rPr>
        <w:t>ve</w:t>
      </w:r>
      <w:r w:rsidR="00D3657C">
        <w:rPr>
          <w:color w:val="1D1B11" w:themeColor="background2" w:themeShade="1A"/>
          <w:lang w:val="en-US"/>
        </w:rPr>
        <w:t>ç</w:t>
      </w:r>
      <w:r w:rsidR="00A312BA" w:rsidRPr="0050721B">
        <w:rPr>
          <w:color w:val="1D1B11" w:themeColor="background2" w:themeShade="1A"/>
          <w:lang w:val="en-US"/>
        </w:rPr>
        <w:t>antë</w:t>
      </w:r>
      <w:proofErr w:type="spellEnd"/>
      <w:r w:rsidR="00A312BA" w:rsidRPr="0050721B">
        <w:rPr>
          <w:color w:val="1D1B11" w:themeColor="background2" w:themeShade="1A"/>
          <w:lang w:val="en-US"/>
        </w:rPr>
        <w:t xml:space="preserve">. </w:t>
      </w:r>
      <w:r w:rsidR="00D3657C">
        <w:rPr>
          <w:rFonts w:eastAsia="Batang"/>
          <w:bCs/>
          <w:color w:val="1D1B11" w:themeColor="background2" w:themeShade="1A"/>
          <w:lang w:val="pt-BR"/>
        </w:rPr>
        <w:t xml:space="preserve">Struktura e elementëve buxhetorë </w:t>
      </w:r>
      <w:r w:rsidR="001A5D5A" w:rsidRPr="0050721B">
        <w:rPr>
          <w:rFonts w:eastAsia="Batang"/>
          <w:bCs/>
          <w:color w:val="1D1B11" w:themeColor="background2" w:themeShade="1A"/>
          <w:lang w:val="pt-BR"/>
        </w:rPr>
        <w:t>në ka</w:t>
      </w:r>
      <w:r w:rsidR="00D3657C">
        <w:rPr>
          <w:rFonts w:eastAsia="Batang"/>
          <w:bCs/>
          <w:color w:val="1D1B11" w:themeColor="background2" w:themeShade="1A"/>
          <w:lang w:val="pt-BR"/>
        </w:rPr>
        <w:t xml:space="preserve">tegoritë kryesore paraqitet si </w:t>
      </w:r>
      <w:r w:rsidRPr="0050721B">
        <w:rPr>
          <w:rFonts w:eastAsia="Batang"/>
          <w:bCs/>
          <w:color w:val="1D1B11" w:themeColor="background2" w:themeShade="1A"/>
          <w:lang w:val="pt-BR"/>
        </w:rPr>
        <w:t>më poshtë:</w:t>
      </w:r>
    </w:p>
    <w:tbl>
      <w:tblPr>
        <w:tblpPr w:leftFromText="180" w:rightFromText="180" w:vertAnchor="text" w:horzAnchor="margin" w:tblpY="98"/>
        <w:tblW w:w="8995" w:type="dxa"/>
        <w:tblLayout w:type="fixed"/>
        <w:tblCellMar>
          <w:left w:w="30" w:type="dxa"/>
          <w:right w:w="30" w:type="dxa"/>
        </w:tblCellMar>
        <w:tblLook w:val="0000" w:firstRow="0" w:lastRow="0" w:firstColumn="0" w:lastColumn="0" w:noHBand="0" w:noVBand="0"/>
      </w:tblPr>
      <w:tblGrid>
        <w:gridCol w:w="2065"/>
        <w:gridCol w:w="3210"/>
        <w:gridCol w:w="30"/>
        <w:gridCol w:w="3690"/>
      </w:tblGrid>
      <w:tr w:rsidR="001E2938" w:rsidRPr="0050721B" w:rsidTr="00E31298">
        <w:trPr>
          <w:trHeight w:val="756"/>
        </w:trPr>
        <w:tc>
          <w:tcPr>
            <w:tcW w:w="2065" w:type="dxa"/>
            <w:tcBorders>
              <w:top w:val="single" w:sz="4" w:space="0" w:color="auto"/>
              <w:left w:val="single" w:sz="4" w:space="0" w:color="auto"/>
              <w:bottom w:val="single" w:sz="6" w:space="0" w:color="auto"/>
              <w:right w:val="single" w:sz="6" w:space="0" w:color="auto"/>
            </w:tcBorders>
            <w:shd w:val="solid" w:color="969696" w:fill="auto"/>
          </w:tcPr>
          <w:p w:rsidR="001E2938" w:rsidRPr="0050721B" w:rsidRDefault="001E2938" w:rsidP="001E2938">
            <w:pPr>
              <w:autoSpaceDE w:val="0"/>
              <w:autoSpaceDN w:val="0"/>
              <w:adjustRightInd w:val="0"/>
              <w:spacing w:line="276" w:lineRule="auto"/>
              <w:jc w:val="center"/>
              <w:rPr>
                <w:b/>
                <w:bCs/>
                <w:color w:val="000000"/>
              </w:rPr>
            </w:pPr>
          </w:p>
          <w:p w:rsidR="001E2938" w:rsidRPr="0050721B" w:rsidRDefault="001E2938" w:rsidP="001E2938">
            <w:pPr>
              <w:autoSpaceDE w:val="0"/>
              <w:autoSpaceDN w:val="0"/>
              <w:adjustRightInd w:val="0"/>
              <w:spacing w:line="276" w:lineRule="auto"/>
              <w:jc w:val="center"/>
              <w:rPr>
                <w:b/>
                <w:bCs/>
                <w:color w:val="000000"/>
              </w:rPr>
            </w:pPr>
            <w:r w:rsidRPr="0050721B">
              <w:rPr>
                <w:b/>
                <w:bCs/>
                <w:color w:val="000000"/>
              </w:rPr>
              <w:t>Llog.</w:t>
            </w:r>
          </w:p>
          <w:p w:rsidR="001E2938" w:rsidRPr="0050721B" w:rsidRDefault="001E2938" w:rsidP="001E2938">
            <w:pPr>
              <w:autoSpaceDE w:val="0"/>
              <w:autoSpaceDN w:val="0"/>
              <w:adjustRightInd w:val="0"/>
              <w:spacing w:line="276" w:lineRule="auto"/>
              <w:jc w:val="center"/>
              <w:rPr>
                <w:b/>
                <w:bCs/>
                <w:color w:val="000000"/>
              </w:rPr>
            </w:pPr>
            <w:r w:rsidRPr="0050721B">
              <w:rPr>
                <w:b/>
                <w:bCs/>
                <w:color w:val="000000"/>
              </w:rPr>
              <w:t>Ekonomike</w:t>
            </w:r>
          </w:p>
        </w:tc>
        <w:tc>
          <w:tcPr>
            <w:tcW w:w="3210" w:type="dxa"/>
            <w:tcBorders>
              <w:top w:val="single" w:sz="4" w:space="0" w:color="auto"/>
              <w:left w:val="single" w:sz="6" w:space="0" w:color="auto"/>
              <w:bottom w:val="single" w:sz="6" w:space="0" w:color="auto"/>
              <w:right w:val="single" w:sz="6" w:space="0" w:color="auto"/>
            </w:tcBorders>
            <w:shd w:val="solid" w:color="969696" w:fill="auto"/>
            <w:vAlign w:val="center"/>
          </w:tcPr>
          <w:p w:rsidR="001E2938" w:rsidRPr="0050721B" w:rsidRDefault="001E2938" w:rsidP="001E2938">
            <w:pPr>
              <w:autoSpaceDE w:val="0"/>
              <w:autoSpaceDN w:val="0"/>
              <w:adjustRightInd w:val="0"/>
              <w:spacing w:line="276" w:lineRule="auto"/>
              <w:jc w:val="center"/>
              <w:rPr>
                <w:b/>
                <w:bCs/>
                <w:color w:val="000000"/>
              </w:rPr>
            </w:pPr>
            <w:r w:rsidRPr="0050721B">
              <w:rPr>
                <w:b/>
                <w:bCs/>
                <w:color w:val="000000"/>
              </w:rPr>
              <w:t>Përshkrimi</w:t>
            </w:r>
          </w:p>
        </w:tc>
        <w:tc>
          <w:tcPr>
            <w:tcW w:w="3720" w:type="dxa"/>
            <w:gridSpan w:val="2"/>
            <w:tcBorders>
              <w:top w:val="single" w:sz="4" w:space="0" w:color="auto"/>
              <w:left w:val="single" w:sz="6" w:space="0" w:color="auto"/>
              <w:bottom w:val="single" w:sz="6" w:space="0" w:color="auto"/>
              <w:right w:val="single" w:sz="6" w:space="0" w:color="auto"/>
            </w:tcBorders>
            <w:shd w:val="solid" w:color="969696" w:fill="auto"/>
          </w:tcPr>
          <w:p w:rsidR="001E2938" w:rsidRPr="0050721B" w:rsidRDefault="001E2938" w:rsidP="001E2938">
            <w:pPr>
              <w:autoSpaceDE w:val="0"/>
              <w:autoSpaceDN w:val="0"/>
              <w:adjustRightInd w:val="0"/>
              <w:spacing w:line="276" w:lineRule="auto"/>
              <w:jc w:val="center"/>
              <w:rPr>
                <w:b/>
                <w:bCs/>
                <w:color w:val="000000"/>
              </w:rPr>
            </w:pPr>
            <w:r w:rsidRPr="0050721B">
              <w:rPr>
                <w:b/>
                <w:bCs/>
                <w:color w:val="000000"/>
              </w:rPr>
              <w:t>Plani  i buxhetit për vitin 2025</w:t>
            </w:r>
          </w:p>
          <w:p w:rsidR="001E2938" w:rsidRPr="0050721B" w:rsidRDefault="001E2938" w:rsidP="001E2938">
            <w:pPr>
              <w:autoSpaceDE w:val="0"/>
              <w:autoSpaceDN w:val="0"/>
              <w:adjustRightInd w:val="0"/>
              <w:spacing w:line="276" w:lineRule="auto"/>
              <w:jc w:val="center"/>
              <w:rPr>
                <w:b/>
                <w:bCs/>
                <w:color w:val="000000"/>
              </w:rPr>
            </w:pPr>
            <w:r w:rsidRPr="0050721B">
              <w:rPr>
                <w:b/>
                <w:bCs/>
                <w:color w:val="000000"/>
              </w:rPr>
              <w:t>(në mijë lekë), i ndryshuar</w:t>
            </w:r>
          </w:p>
          <w:p w:rsidR="001E2938" w:rsidRPr="0050721B" w:rsidRDefault="001E2938" w:rsidP="001E2938">
            <w:pPr>
              <w:autoSpaceDE w:val="0"/>
              <w:autoSpaceDN w:val="0"/>
              <w:adjustRightInd w:val="0"/>
              <w:spacing w:line="276" w:lineRule="auto"/>
              <w:rPr>
                <w:b/>
                <w:bCs/>
                <w:color w:val="000000"/>
                <w:lang w:val="it-IT"/>
              </w:rPr>
            </w:pPr>
          </w:p>
        </w:tc>
      </w:tr>
      <w:tr w:rsidR="001E2938" w:rsidRPr="0050721B" w:rsidTr="00E31298">
        <w:trPr>
          <w:trHeight w:val="262"/>
        </w:trPr>
        <w:tc>
          <w:tcPr>
            <w:tcW w:w="2065" w:type="dxa"/>
            <w:tcBorders>
              <w:top w:val="single" w:sz="6" w:space="0" w:color="auto"/>
              <w:left w:val="single" w:sz="4" w:space="0" w:color="auto"/>
              <w:bottom w:val="single" w:sz="6" w:space="0" w:color="auto"/>
              <w:right w:val="single" w:sz="6" w:space="0" w:color="auto"/>
            </w:tcBorders>
          </w:tcPr>
          <w:p w:rsidR="001E2938" w:rsidRPr="0050721B" w:rsidRDefault="001E2938" w:rsidP="001E2938">
            <w:pPr>
              <w:autoSpaceDE w:val="0"/>
              <w:autoSpaceDN w:val="0"/>
              <w:adjustRightInd w:val="0"/>
              <w:spacing w:line="276" w:lineRule="auto"/>
              <w:jc w:val="center"/>
              <w:rPr>
                <w:bCs/>
                <w:color w:val="000000"/>
              </w:rPr>
            </w:pPr>
            <w:r w:rsidRPr="0050721B">
              <w:rPr>
                <w:bCs/>
                <w:color w:val="000000"/>
              </w:rPr>
              <w:t>600</w:t>
            </w:r>
          </w:p>
        </w:tc>
        <w:tc>
          <w:tcPr>
            <w:tcW w:w="3210" w:type="dxa"/>
            <w:tcBorders>
              <w:top w:val="single" w:sz="6" w:space="0" w:color="auto"/>
              <w:left w:val="single" w:sz="6" w:space="0" w:color="auto"/>
              <w:bottom w:val="single" w:sz="6" w:space="0" w:color="auto"/>
              <w:right w:val="single" w:sz="6" w:space="0" w:color="auto"/>
            </w:tcBorders>
            <w:shd w:val="solid" w:color="FFFFFF" w:fill="auto"/>
          </w:tcPr>
          <w:p w:rsidR="001E2938" w:rsidRPr="0050721B" w:rsidRDefault="001E2938" w:rsidP="001E2938">
            <w:pPr>
              <w:autoSpaceDE w:val="0"/>
              <w:autoSpaceDN w:val="0"/>
              <w:adjustRightInd w:val="0"/>
              <w:spacing w:line="276" w:lineRule="auto"/>
              <w:rPr>
                <w:bCs/>
                <w:color w:val="000000"/>
              </w:rPr>
            </w:pPr>
            <w:r w:rsidRPr="0050721B">
              <w:rPr>
                <w:bCs/>
                <w:color w:val="000000"/>
              </w:rPr>
              <w:t xml:space="preserve">Shpenzime për paga </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1E2938" w:rsidRPr="0050721B" w:rsidRDefault="001E2938" w:rsidP="001E2938">
            <w:pPr>
              <w:autoSpaceDE w:val="0"/>
              <w:autoSpaceDN w:val="0"/>
              <w:adjustRightInd w:val="0"/>
              <w:spacing w:line="276" w:lineRule="auto"/>
              <w:jc w:val="center"/>
              <w:rPr>
                <w:bCs/>
                <w:color w:val="000000"/>
              </w:rPr>
            </w:pPr>
            <w:r w:rsidRPr="0050721B">
              <w:rPr>
                <w:bCs/>
                <w:color w:val="000000"/>
              </w:rPr>
              <w:t>110.140</w:t>
            </w:r>
          </w:p>
        </w:tc>
      </w:tr>
      <w:tr w:rsidR="001E2938" w:rsidRPr="0050721B" w:rsidTr="00E31298">
        <w:trPr>
          <w:trHeight w:val="219"/>
        </w:trPr>
        <w:tc>
          <w:tcPr>
            <w:tcW w:w="2065" w:type="dxa"/>
            <w:tcBorders>
              <w:top w:val="single" w:sz="6" w:space="0" w:color="auto"/>
              <w:left w:val="single" w:sz="4" w:space="0" w:color="auto"/>
              <w:bottom w:val="single" w:sz="6" w:space="0" w:color="auto"/>
              <w:right w:val="single" w:sz="6" w:space="0" w:color="auto"/>
            </w:tcBorders>
          </w:tcPr>
          <w:p w:rsidR="001E2938" w:rsidRPr="0050721B" w:rsidRDefault="001E2938" w:rsidP="001E2938">
            <w:pPr>
              <w:autoSpaceDE w:val="0"/>
              <w:autoSpaceDN w:val="0"/>
              <w:adjustRightInd w:val="0"/>
              <w:spacing w:line="276" w:lineRule="auto"/>
              <w:jc w:val="center"/>
              <w:rPr>
                <w:bCs/>
                <w:color w:val="000000"/>
              </w:rPr>
            </w:pPr>
            <w:r w:rsidRPr="0050721B">
              <w:rPr>
                <w:bCs/>
                <w:color w:val="000000"/>
              </w:rPr>
              <w:t>601</w:t>
            </w:r>
          </w:p>
        </w:tc>
        <w:tc>
          <w:tcPr>
            <w:tcW w:w="3240" w:type="dxa"/>
            <w:gridSpan w:val="2"/>
            <w:tcBorders>
              <w:top w:val="single" w:sz="6" w:space="0" w:color="auto"/>
              <w:left w:val="single" w:sz="6" w:space="0" w:color="auto"/>
              <w:bottom w:val="single" w:sz="6" w:space="0" w:color="auto"/>
              <w:right w:val="single" w:sz="6" w:space="0" w:color="auto"/>
            </w:tcBorders>
            <w:shd w:val="solid" w:color="FFFFFF" w:fill="auto"/>
          </w:tcPr>
          <w:p w:rsidR="001E2938" w:rsidRPr="0050721B" w:rsidRDefault="001E2938" w:rsidP="001E2938">
            <w:pPr>
              <w:autoSpaceDE w:val="0"/>
              <w:autoSpaceDN w:val="0"/>
              <w:adjustRightInd w:val="0"/>
              <w:spacing w:line="276" w:lineRule="auto"/>
              <w:rPr>
                <w:bCs/>
                <w:color w:val="000000"/>
              </w:rPr>
            </w:pPr>
            <w:r w:rsidRPr="0050721B">
              <w:rPr>
                <w:bCs/>
                <w:color w:val="000000"/>
              </w:rPr>
              <w:t>Kontrib. Sig. Shoq&amp; Shënd.</w:t>
            </w:r>
          </w:p>
        </w:tc>
        <w:tc>
          <w:tcPr>
            <w:tcW w:w="3690" w:type="dxa"/>
            <w:tcBorders>
              <w:top w:val="single" w:sz="6" w:space="0" w:color="auto"/>
              <w:left w:val="single" w:sz="6" w:space="0" w:color="auto"/>
              <w:bottom w:val="single" w:sz="6" w:space="0" w:color="auto"/>
              <w:right w:val="single" w:sz="6" w:space="0" w:color="auto"/>
            </w:tcBorders>
            <w:shd w:val="solid" w:color="FFFFFF" w:fill="auto"/>
          </w:tcPr>
          <w:p w:rsidR="001E2938" w:rsidRPr="0050721B" w:rsidRDefault="001E2938" w:rsidP="001E2938">
            <w:pPr>
              <w:autoSpaceDE w:val="0"/>
              <w:autoSpaceDN w:val="0"/>
              <w:adjustRightInd w:val="0"/>
              <w:spacing w:line="276" w:lineRule="auto"/>
              <w:jc w:val="center"/>
              <w:rPr>
                <w:bCs/>
                <w:color w:val="000000"/>
              </w:rPr>
            </w:pPr>
            <w:r w:rsidRPr="0050721B">
              <w:rPr>
                <w:bCs/>
                <w:color w:val="000000"/>
              </w:rPr>
              <w:t>17.330</w:t>
            </w:r>
          </w:p>
        </w:tc>
      </w:tr>
      <w:tr w:rsidR="001E2938" w:rsidRPr="0050721B" w:rsidTr="00E31298">
        <w:trPr>
          <w:trHeight w:val="276"/>
        </w:trPr>
        <w:tc>
          <w:tcPr>
            <w:tcW w:w="2065" w:type="dxa"/>
            <w:tcBorders>
              <w:top w:val="single" w:sz="6" w:space="0" w:color="auto"/>
              <w:left w:val="single" w:sz="4" w:space="0" w:color="auto"/>
              <w:bottom w:val="single" w:sz="6" w:space="0" w:color="auto"/>
              <w:right w:val="single" w:sz="6" w:space="0" w:color="auto"/>
            </w:tcBorders>
          </w:tcPr>
          <w:p w:rsidR="001E2938" w:rsidRPr="0050721B" w:rsidRDefault="001E2938" w:rsidP="001E2938">
            <w:pPr>
              <w:autoSpaceDE w:val="0"/>
              <w:autoSpaceDN w:val="0"/>
              <w:adjustRightInd w:val="0"/>
              <w:spacing w:line="276" w:lineRule="auto"/>
              <w:jc w:val="center"/>
              <w:rPr>
                <w:bCs/>
                <w:color w:val="000000"/>
              </w:rPr>
            </w:pPr>
            <w:r w:rsidRPr="0050721B">
              <w:rPr>
                <w:bCs/>
                <w:color w:val="000000"/>
              </w:rPr>
              <w:t>602</w:t>
            </w:r>
          </w:p>
        </w:tc>
        <w:tc>
          <w:tcPr>
            <w:tcW w:w="3210" w:type="dxa"/>
            <w:tcBorders>
              <w:top w:val="single" w:sz="6" w:space="0" w:color="auto"/>
              <w:left w:val="single" w:sz="6" w:space="0" w:color="auto"/>
              <w:bottom w:val="single" w:sz="6" w:space="0" w:color="auto"/>
              <w:right w:val="single" w:sz="6" w:space="0" w:color="auto"/>
            </w:tcBorders>
            <w:shd w:val="solid" w:color="FFFFFF" w:fill="auto"/>
          </w:tcPr>
          <w:p w:rsidR="001E2938" w:rsidRPr="0050721B" w:rsidRDefault="001E2938" w:rsidP="001E2938">
            <w:pPr>
              <w:autoSpaceDE w:val="0"/>
              <w:autoSpaceDN w:val="0"/>
              <w:adjustRightInd w:val="0"/>
              <w:spacing w:line="276" w:lineRule="auto"/>
              <w:rPr>
                <w:bCs/>
                <w:color w:val="000000"/>
              </w:rPr>
            </w:pPr>
            <w:r w:rsidRPr="0050721B">
              <w:rPr>
                <w:bCs/>
                <w:color w:val="000000"/>
              </w:rPr>
              <w:t>Mallra dhe shërbime të tjera</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1E2938" w:rsidRPr="0050721B" w:rsidRDefault="001E2938" w:rsidP="001E2938">
            <w:pPr>
              <w:autoSpaceDE w:val="0"/>
              <w:autoSpaceDN w:val="0"/>
              <w:adjustRightInd w:val="0"/>
              <w:spacing w:line="276" w:lineRule="auto"/>
              <w:jc w:val="center"/>
              <w:rPr>
                <w:bCs/>
                <w:color w:val="000000"/>
              </w:rPr>
            </w:pPr>
            <w:r w:rsidRPr="0050721B">
              <w:rPr>
                <w:bCs/>
                <w:color w:val="000000"/>
              </w:rPr>
              <w:t>32.740</w:t>
            </w:r>
          </w:p>
        </w:tc>
      </w:tr>
      <w:tr w:rsidR="001E2938" w:rsidRPr="0050721B" w:rsidTr="00E31298">
        <w:trPr>
          <w:trHeight w:val="276"/>
        </w:trPr>
        <w:tc>
          <w:tcPr>
            <w:tcW w:w="2065" w:type="dxa"/>
            <w:tcBorders>
              <w:top w:val="single" w:sz="6" w:space="0" w:color="auto"/>
              <w:left w:val="single" w:sz="4" w:space="0" w:color="auto"/>
              <w:bottom w:val="single" w:sz="6" w:space="0" w:color="auto"/>
              <w:right w:val="single" w:sz="6" w:space="0" w:color="auto"/>
            </w:tcBorders>
          </w:tcPr>
          <w:p w:rsidR="001E2938" w:rsidRPr="0050721B" w:rsidRDefault="001E2938" w:rsidP="001E2938">
            <w:pPr>
              <w:autoSpaceDE w:val="0"/>
              <w:autoSpaceDN w:val="0"/>
              <w:adjustRightInd w:val="0"/>
              <w:spacing w:line="276" w:lineRule="auto"/>
              <w:jc w:val="center"/>
              <w:rPr>
                <w:bCs/>
                <w:color w:val="000000"/>
              </w:rPr>
            </w:pPr>
            <w:r w:rsidRPr="0050721B">
              <w:rPr>
                <w:bCs/>
                <w:color w:val="000000"/>
              </w:rPr>
              <w:t>605</w:t>
            </w:r>
          </w:p>
        </w:tc>
        <w:tc>
          <w:tcPr>
            <w:tcW w:w="3210" w:type="dxa"/>
            <w:tcBorders>
              <w:top w:val="single" w:sz="6" w:space="0" w:color="auto"/>
              <w:left w:val="single" w:sz="6" w:space="0" w:color="auto"/>
              <w:bottom w:val="single" w:sz="6" w:space="0" w:color="auto"/>
              <w:right w:val="single" w:sz="6" w:space="0" w:color="auto"/>
            </w:tcBorders>
            <w:shd w:val="solid" w:color="FFFFFF" w:fill="auto"/>
          </w:tcPr>
          <w:p w:rsidR="001E2938" w:rsidRPr="0050721B" w:rsidRDefault="001E2938" w:rsidP="001E2938">
            <w:pPr>
              <w:autoSpaceDE w:val="0"/>
              <w:autoSpaceDN w:val="0"/>
              <w:adjustRightInd w:val="0"/>
              <w:spacing w:line="276" w:lineRule="auto"/>
              <w:rPr>
                <w:bCs/>
                <w:color w:val="000000"/>
              </w:rPr>
            </w:pPr>
            <w:r w:rsidRPr="0050721B">
              <w:rPr>
                <w:bCs/>
                <w:color w:val="000000"/>
              </w:rPr>
              <w:t>Transferta korente jashtë vendit</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1E2938" w:rsidRPr="0050721B" w:rsidRDefault="001E2938" w:rsidP="001E2938">
            <w:pPr>
              <w:autoSpaceDE w:val="0"/>
              <w:autoSpaceDN w:val="0"/>
              <w:adjustRightInd w:val="0"/>
              <w:spacing w:line="276" w:lineRule="auto"/>
              <w:jc w:val="center"/>
              <w:rPr>
                <w:bCs/>
              </w:rPr>
            </w:pPr>
            <w:r w:rsidRPr="0050721B">
              <w:rPr>
                <w:bCs/>
                <w:color w:val="000000"/>
              </w:rPr>
              <w:t xml:space="preserve">     150 </w:t>
            </w:r>
          </w:p>
        </w:tc>
      </w:tr>
      <w:tr w:rsidR="001E2938" w:rsidRPr="0050721B" w:rsidTr="00E31298">
        <w:trPr>
          <w:trHeight w:val="276"/>
        </w:trPr>
        <w:tc>
          <w:tcPr>
            <w:tcW w:w="2065" w:type="dxa"/>
            <w:tcBorders>
              <w:top w:val="single" w:sz="6" w:space="0" w:color="auto"/>
              <w:left w:val="single" w:sz="4" w:space="0" w:color="auto"/>
              <w:bottom w:val="single" w:sz="6" w:space="0" w:color="auto"/>
              <w:right w:val="single" w:sz="6" w:space="0" w:color="auto"/>
            </w:tcBorders>
          </w:tcPr>
          <w:p w:rsidR="001E2938" w:rsidRPr="0050721B" w:rsidRDefault="001E2938" w:rsidP="001E2938">
            <w:pPr>
              <w:autoSpaceDE w:val="0"/>
              <w:autoSpaceDN w:val="0"/>
              <w:adjustRightInd w:val="0"/>
              <w:spacing w:line="276" w:lineRule="auto"/>
              <w:jc w:val="center"/>
              <w:rPr>
                <w:bCs/>
                <w:color w:val="000000"/>
              </w:rPr>
            </w:pPr>
            <w:r w:rsidRPr="0050721B">
              <w:rPr>
                <w:bCs/>
                <w:color w:val="000000"/>
              </w:rPr>
              <w:t>606</w:t>
            </w:r>
          </w:p>
        </w:tc>
        <w:tc>
          <w:tcPr>
            <w:tcW w:w="3210" w:type="dxa"/>
            <w:tcBorders>
              <w:top w:val="single" w:sz="6" w:space="0" w:color="auto"/>
              <w:left w:val="single" w:sz="6" w:space="0" w:color="auto"/>
              <w:bottom w:val="single" w:sz="6" w:space="0" w:color="auto"/>
              <w:right w:val="single" w:sz="6" w:space="0" w:color="auto"/>
            </w:tcBorders>
            <w:shd w:val="solid" w:color="FFFFFF" w:fill="auto"/>
          </w:tcPr>
          <w:p w:rsidR="001E2938" w:rsidRPr="0050721B" w:rsidRDefault="001E2938" w:rsidP="001E2938">
            <w:pPr>
              <w:autoSpaceDE w:val="0"/>
              <w:autoSpaceDN w:val="0"/>
              <w:adjustRightInd w:val="0"/>
              <w:spacing w:line="276" w:lineRule="auto"/>
              <w:rPr>
                <w:bCs/>
                <w:color w:val="000000"/>
              </w:rPr>
            </w:pPr>
            <w:r w:rsidRPr="0050721B">
              <w:rPr>
                <w:bCs/>
                <w:color w:val="000000"/>
              </w:rPr>
              <w:t>Transf. për Buxh. Fam. &amp; Individ</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1E2938" w:rsidRPr="0050721B" w:rsidRDefault="001E2938" w:rsidP="001E2938">
            <w:pPr>
              <w:autoSpaceDE w:val="0"/>
              <w:autoSpaceDN w:val="0"/>
              <w:adjustRightInd w:val="0"/>
              <w:spacing w:line="276" w:lineRule="auto"/>
              <w:jc w:val="center"/>
              <w:rPr>
                <w:bCs/>
                <w:color w:val="000000"/>
              </w:rPr>
            </w:pPr>
            <w:r w:rsidRPr="0050721B">
              <w:rPr>
                <w:bCs/>
                <w:color w:val="000000"/>
              </w:rPr>
              <w:t xml:space="preserve">     340 </w:t>
            </w:r>
          </w:p>
        </w:tc>
      </w:tr>
      <w:tr w:rsidR="001E2938" w:rsidRPr="0050721B" w:rsidTr="00E31298">
        <w:trPr>
          <w:trHeight w:val="276"/>
        </w:trPr>
        <w:tc>
          <w:tcPr>
            <w:tcW w:w="2065" w:type="dxa"/>
            <w:tcBorders>
              <w:top w:val="single" w:sz="6" w:space="0" w:color="auto"/>
              <w:left w:val="single" w:sz="4" w:space="0" w:color="auto"/>
              <w:bottom w:val="single" w:sz="6" w:space="0" w:color="auto"/>
              <w:right w:val="single" w:sz="6" w:space="0" w:color="auto"/>
            </w:tcBorders>
          </w:tcPr>
          <w:p w:rsidR="001E2938" w:rsidRPr="0050721B" w:rsidRDefault="001E2938" w:rsidP="001E2938">
            <w:pPr>
              <w:autoSpaceDE w:val="0"/>
              <w:autoSpaceDN w:val="0"/>
              <w:adjustRightInd w:val="0"/>
              <w:spacing w:line="276" w:lineRule="auto"/>
              <w:jc w:val="center"/>
              <w:rPr>
                <w:b/>
                <w:bCs/>
                <w:color w:val="000000"/>
              </w:rPr>
            </w:pPr>
            <w:r w:rsidRPr="0050721B">
              <w:rPr>
                <w:b/>
                <w:bCs/>
                <w:color w:val="000000"/>
              </w:rPr>
              <w:t>230-231</w:t>
            </w:r>
          </w:p>
        </w:tc>
        <w:tc>
          <w:tcPr>
            <w:tcW w:w="3210" w:type="dxa"/>
            <w:tcBorders>
              <w:top w:val="single" w:sz="6" w:space="0" w:color="auto"/>
              <w:left w:val="single" w:sz="6" w:space="0" w:color="auto"/>
              <w:bottom w:val="single" w:sz="6" w:space="0" w:color="auto"/>
              <w:right w:val="single" w:sz="6" w:space="0" w:color="auto"/>
            </w:tcBorders>
            <w:shd w:val="solid" w:color="FFFFFF" w:fill="auto"/>
          </w:tcPr>
          <w:p w:rsidR="001E2938" w:rsidRPr="0050721B" w:rsidRDefault="001E2938" w:rsidP="001E2938">
            <w:pPr>
              <w:autoSpaceDE w:val="0"/>
              <w:autoSpaceDN w:val="0"/>
              <w:adjustRightInd w:val="0"/>
              <w:spacing w:line="276" w:lineRule="auto"/>
              <w:rPr>
                <w:b/>
                <w:bCs/>
                <w:color w:val="000000"/>
              </w:rPr>
            </w:pPr>
            <w:r w:rsidRPr="0050721B">
              <w:rPr>
                <w:b/>
                <w:bCs/>
                <w:color w:val="000000"/>
              </w:rPr>
              <w:t>Shpenzime kapitale</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1E2938" w:rsidRPr="0050721B" w:rsidRDefault="001E2938" w:rsidP="001E2938">
            <w:pPr>
              <w:autoSpaceDE w:val="0"/>
              <w:autoSpaceDN w:val="0"/>
              <w:adjustRightInd w:val="0"/>
              <w:spacing w:line="276" w:lineRule="auto"/>
              <w:jc w:val="center"/>
              <w:rPr>
                <w:b/>
                <w:bCs/>
                <w:color w:val="000000"/>
              </w:rPr>
            </w:pPr>
            <w:r w:rsidRPr="0050721B">
              <w:rPr>
                <w:b/>
                <w:bCs/>
                <w:color w:val="000000"/>
              </w:rPr>
              <w:t xml:space="preserve">13.000 </w:t>
            </w:r>
          </w:p>
        </w:tc>
      </w:tr>
      <w:tr w:rsidR="001E2938" w:rsidRPr="0050721B" w:rsidTr="00E31298">
        <w:trPr>
          <w:trHeight w:val="276"/>
        </w:trPr>
        <w:tc>
          <w:tcPr>
            <w:tcW w:w="2065" w:type="dxa"/>
            <w:tcBorders>
              <w:top w:val="single" w:sz="6" w:space="0" w:color="auto"/>
              <w:left w:val="single" w:sz="4" w:space="0" w:color="auto"/>
              <w:bottom w:val="single" w:sz="6" w:space="0" w:color="auto"/>
              <w:right w:val="single" w:sz="6" w:space="0" w:color="auto"/>
            </w:tcBorders>
          </w:tcPr>
          <w:p w:rsidR="001E2938" w:rsidRPr="0050721B" w:rsidRDefault="001E2938" w:rsidP="001E2938">
            <w:pPr>
              <w:autoSpaceDE w:val="0"/>
              <w:autoSpaceDN w:val="0"/>
              <w:adjustRightInd w:val="0"/>
              <w:spacing w:line="276" w:lineRule="auto"/>
              <w:rPr>
                <w:bCs/>
                <w:color w:val="000000"/>
              </w:rPr>
            </w:pPr>
            <w:r w:rsidRPr="0050721B">
              <w:rPr>
                <w:bCs/>
                <w:color w:val="000000"/>
              </w:rPr>
              <w:t xml:space="preserve">      18 AD 102</w:t>
            </w:r>
          </w:p>
        </w:tc>
        <w:tc>
          <w:tcPr>
            <w:tcW w:w="3210" w:type="dxa"/>
            <w:tcBorders>
              <w:top w:val="single" w:sz="6" w:space="0" w:color="auto"/>
              <w:left w:val="single" w:sz="6" w:space="0" w:color="auto"/>
              <w:bottom w:val="single" w:sz="6" w:space="0" w:color="auto"/>
              <w:right w:val="single" w:sz="6" w:space="0" w:color="auto"/>
            </w:tcBorders>
            <w:shd w:val="solid" w:color="FFFFFF" w:fill="auto"/>
          </w:tcPr>
          <w:p w:rsidR="001E2938" w:rsidRPr="0050721B" w:rsidRDefault="001E2938" w:rsidP="001E2938">
            <w:pPr>
              <w:autoSpaceDE w:val="0"/>
              <w:autoSpaceDN w:val="0"/>
              <w:adjustRightInd w:val="0"/>
              <w:spacing w:line="276" w:lineRule="auto"/>
              <w:rPr>
                <w:bCs/>
                <w:color w:val="000000"/>
              </w:rPr>
            </w:pPr>
            <w:r w:rsidRPr="0050721B">
              <w:rPr>
                <w:bCs/>
                <w:color w:val="000000"/>
              </w:rPr>
              <w:t xml:space="preserve">Paisje zyre, elektronike/kompjuterike  </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1E2938" w:rsidRPr="0050721B" w:rsidRDefault="001E2938" w:rsidP="001E2938">
            <w:pPr>
              <w:autoSpaceDE w:val="0"/>
              <w:autoSpaceDN w:val="0"/>
              <w:adjustRightInd w:val="0"/>
              <w:spacing w:line="276" w:lineRule="auto"/>
              <w:jc w:val="center"/>
              <w:rPr>
                <w:bCs/>
                <w:color w:val="000000"/>
              </w:rPr>
            </w:pPr>
            <w:r w:rsidRPr="0050721B">
              <w:rPr>
                <w:bCs/>
                <w:color w:val="000000"/>
              </w:rPr>
              <w:t xml:space="preserve"> 5.000</w:t>
            </w:r>
          </w:p>
        </w:tc>
      </w:tr>
      <w:tr w:rsidR="001E2938" w:rsidRPr="0050721B" w:rsidTr="00E31298">
        <w:trPr>
          <w:trHeight w:val="276"/>
        </w:trPr>
        <w:tc>
          <w:tcPr>
            <w:tcW w:w="2065" w:type="dxa"/>
            <w:tcBorders>
              <w:top w:val="single" w:sz="6" w:space="0" w:color="auto"/>
              <w:left w:val="single" w:sz="4" w:space="0" w:color="auto"/>
              <w:bottom w:val="single" w:sz="6" w:space="0" w:color="auto"/>
              <w:right w:val="single" w:sz="6" w:space="0" w:color="auto"/>
            </w:tcBorders>
          </w:tcPr>
          <w:p w:rsidR="001E2938" w:rsidRPr="0050721B" w:rsidRDefault="001E2938" w:rsidP="001E2938">
            <w:pPr>
              <w:autoSpaceDE w:val="0"/>
              <w:autoSpaceDN w:val="0"/>
              <w:adjustRightInd w:val="0"/>
              <w:spacing w:line="276" w:lineRule="auto"/>
              <w:jc w:val="center"/>
              <w:rPr>
                <w:bCs/>
                <w:color w:val="000000"/>
              </w:rPr>
            </w:pPr>
            <w:r>
              <w:rPr>
                <w:bCs/>
                <w:lang w:val="en-US"/>
              </w:rPr>
              <w:t xml:space="preserve"> </w:t>
            </w:r>
            <w:r w:rsidRPr="0050721B">
              <w:rPr>
                <w:bCs/>
                <w:lang w:val="en-US"/>
              </w:rPr>
              <w:t>25AC501</w:t>
            </w:r>
            <w:r>
              <w:rPr>
                <w:bCs/>
                <w:lang w:val="en-US"/>
              </w:rPr>
              <w:t xml:space="preserve"> </w:t>
            </w:r>
            <w:r w:rsidRPr="0050721B">
              <w:rPr>
                <w:bCs/>
                <w:lang w:val="en-US"/>
              </w:rPr>
              <w:t xml:space="preserve"> </w:t>
            </w:r>
            <w:r>
              <w:rPr>
                <w:bCs/>
                <w:lang w:val="en-US"/>
              </w:rPr>
              <w:t xml:space="preserve"> </w:t>
            </w:r>
          </w:p>
        </w:tc>
        <w:tc>
          <w:tcPr>
            <w:tcW w:w="3210" w:type="dxa"/>
            <w:tcBorders>
              <w:top w:val="single" w:sz="6" w:space="0" w:color="auto"/>
              <w:left w:val="single" w:sz="6" w:space="0" w:color="auto"/>
              <w:bottom w:val="single" w:sz="6" w:space="0" w:color="auto"/>
              <w:right w:val="single" w:sz="6" w:space="0" w:color="auto"/>
            </w:tcBorders>
            <w:shd w:val="solid" w:color="FFFFFF" w:fill="auto"/>
          </w:tcPr>
          <w:p w:rsidR="001E2938" w:rsidRPr="0050721B" w:rsidRDefault="001E2938" w:rsidP="001E2938">
            <w:pPr>
              <w:autoSpaceDE w:val="0"/>
              <w:autoSpaceDN w:val="0"/>
              <w:adjustRightInd w:val="0"/>
              <w:spacing w:line="276" w:lineRule="auto"/>
              <w:rPr>
                <w:bCs/>
                <w:color w:val="000000"/>
              </w:rPr>
            </w:pPr>
            <w:r w:rsidRPr="0050721B">
              <w:rPr>
                <w:bCs/>
                <w:color w:val="000000"/>
              </w:rPr>
              <w:t xml:space="preserve">Dixhitalizim i programeve  të Transperencës </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1E2938" w:rsidRPr="0050721B" w:rsidRDefault="001E2938" w:rsidP="001E2938">
            <w:pPr>
              <w:autoSpaceDE w:val="0"/>
              <w:autoSpaceDN w:val="0"/>
              <w:adjustRightInd w:val="0"/>
              <w:spacing w:line="276" w:lineRule="auto"/>
              <w:jc w:val="center"/>
              <w:rPr>
                <w:bCs/>
                <w:color w:val="000000"/>
              </w:rPr>
            </w:pPr>
            <w:r w:rsidRPr="0050721B">
              <w:rPr>
                <w:bCs/>
                <w:color w:val="000000"/>
              </w:rPr>
              <w:t>8.000</w:t>
            </w:r>
          </w:p>
        </w:tc>
      </w:tr>
      <w:tr w:rsidR="001E2938" w:rsidRPr="0050721B" w:rsidTr="00E31298">
        <w:trPr>
          <w:trHeight w:val="276"/>
        </w:trPr>
        <w:tc>
          <w:tcPr>
            <w:tcW w:w="2065" w:type="dxa"/>
            <w:tcBorders>
              <w:top w:val="single" w:sz="6" w:space="0" w:color="auto"/>
              <w:left w:val="single" w:sz="4" w:space="0" w:color="auto"/>
              <w:bottom w:val="single" w:sz="6" w:space="0" w:color="auto"/>
              <w:right w:val="single" w:sz="6" w:space="0" w:color="auto"/>
            </w:tcBorders>
          </w:tcPr>
          <w:p w:rsidR="001E2938" w:rsidRPr="0050721B" w:rsidRDefault="001E2938" w:rsidP="001E2938">
            <w:pPr>
              <w:autoSpaceDE w:val="0"/>
              <w:autoSpaceDN w:val="0"/>
              <w:adjustRightInd w:val="0"/>
              <w:spacing w:line="276" w:lineRule="auto"/>
              <w:jc w:val="center"/>
              <w:rPr>
                <w:bCs/>
                <w:color w:val="000000"/>
              </w:rPr>
            </w:pPr>
            <w:r w:rsidRPr="0050721B">
              <w:rPr>
                <w:bCs/>
                <w:color w:val="000000"/>
              </w:rPr>
              <w:t>606</w:t>
            </w:r>
          </w:p>
        </w:tc>
        <w:tc>
          <w:tcPr>
            <w:tcW w:w="3210" w:type="dxa"/>
            <w:tcBorders>
              <w:top w:val="single" w:sz="6" w:space="0" w:color="auto"/>
              <w:left w:val="single" w:sz="6" w:space="0" w:color="auto"/>
              <w:bottom w:val="single" w:sz="6" w:space="0" w:color="auto"/>
              <w:right w:val="single" w:sz="6" w:space="0" w:color="auto"/>
            </w:tcBorders>
            <w:shd w:val="solid" w:color="FFFFFF" w:fill="auto"/>
          </w:tcPr>
          <w:p w:rsidR="001E2938" w:rsidRPr="0050721B" w:rsidRDefault="001E2938" w:rsidP="001E2938">
            <w:pPr>
              <w:autoSpaceDE w:val="0"/>
              <w:autoSpaceDN w:val="0"/>
              <w:adjustRightInd w:val="0"/>
              <w:spacing w:line="276" w:lineRule="auto"/>
              <w:rPr>
                <w:bCs/>
                <w:color w:val="000000"/>
              </w:rPr>
            </w:pPr>
            <w:r w:rsidRPr="0050721B">
              <w:rPr>
                <w:bCs/>
                <w:color w:val="000000"/>
              </w:rPr>
              <w:t xml:space="preserve">Fondi i veçantë  </w:t>
            </w:r>
          </w:p>
        </w:tc>
        <w:tc>
          <w:tcPr>
            <w:tcW w:w="3720" w:type="dxa"/>
            <w:gridSpan w:val="2"/>
            <w:tcBorders>
              <w:top w:val="single" w:sz="6" w:space="0" w:color="auto"/>
              <w:left w:val="single" w:sz="6" w:space="0" w:color="auto"/>
              <w:bottom w:val="single" w:sz="6" w:space="0" w:color="auto"/>
              <w:right w:val="single" w:sz="6" w:space="0" w:color="auto"/>
            </w:tcBorders>
            <w:shd w:val="solid" w:color="FFFFFF" w:fill="auto"/>
          </w:tcPr>
          <w:p w:rsidR="001E2938" w:rsidRPr="0050721B" w:rsidRDefault="001E2938" w:rsidP="001E2938">
            <w:pPr>
              <w:autoSpaceDE w:val="0"/>
              <w:autoSpaceDN w:val="0"/>
              <w:adjustRightInd w:val="0"/>
              <w:spacing w:line="276" w:lineRule="auto"/>
              <w:jc w:val="center"/>
              <w:rPr>
                <w:bCs/>
                <w:color w:val="000000"/>
              </w:rPr>
            </w:pPr>
            <w:r w:rsidRPr="0050721B">
              <w:rPr>
                <w:bCs/>
                <w:color w:val="000000"/>
              </w:rPr>
              <w:t xml:space="preserve">     </w:t>
            </w:r>
          </w:p>
          <w:p w:rsidR="001E2938" w:rsidRPr="0050721B" w:rsidRDefault="001E2938" w:rsidP="001E2938">
            <w:pPr>
              <w:autoSpaceDE w:val="0"/>
              <w:autoSpaceDN w:val="0"/>
              <w:adjustRightInd w:val="0"/>
              <w:spacing w:line="276" w:lineRule="auto"/>
              <w:jc w:val="center"/>
              <w:rPr>
                <w:bCs/>
                <w:color w:val="000000"/>
              </w:rPr>
            </w:pPr>
            <w:r w:rsidRPr="0050721B">
              <w:rPr>
                <w:bCs/>
                <w:color w:val="000000"/>
              </w:rPr>
              <w:t xml:space="preserve">  750</w:t>
            </w:r>
          </w:p>
        </w:tc>
      </w:tr>
      <w:tr w:rsidR="001E2938" w:rsidRPr="0050721B" w:rsidTr="00E31298">
        <w:trPr>
          <w:trHeight w:val="262"/>
        </w:trPr>
        <w:tc>
          <w:tcPr>
            <w:tcW w:w="2065" w:type="dxa"/>
            <w:tcBorders>
              <w:top w:val="single" w:sz="4" w:space="0" w:color="auto"/>
              <w:left w:val="single" w:sz="4" w:space="0" w:color="auto"/>
              <w:bottom w:val="single" w:sz="4" w:space="0" w:color="auto"/>
              <w:right w:val="single" w:sz="4" w:space="0" w:color="auto"/>
            </w:tcBorders>
            <w:shd w:val="solid" w:color="969696" w:fill="auto"/>
          </w:tcPr>
          <w:p w:rsidR="001E2938" w:rsidRPr="0050721B" w:rsidRDefault="001E2938" w:rsidP="001E2938">
            <w:pPr>
              <w:autoSpaceDE w:val="0"/>
              <w:autoSpaceDN w:val="0"/>
              <w:adjustRightInd w:val="0"/>
              <w:spacing w:line="276" w:lineRule="auto"/>
              <w:jc w:val="right"/>
              <w:rPr>
                <w:color w:val="000000"/>
                <w:highlight w:val="black"/>
              </w:rPr>
            </w:pPr>
          </w:p>
        </w:tc>
        <w:tc>
          <w:tcPr>
            <w:tcW w:w="3210" w:type="dxa"/>
            <w:tcBorders>
              <w:top w:val="single" w:sz="4" w:space="0" w:color="auto"/>
              <w:left w:val="single" w:sz="4" w:space="0" w:color="auto"/>
              <w:bottom w:val="single" w:sz="4" w:space="0" w:color="auto"/>
              <w:right w:val="single" w:sz="4" w:space="0" w:color="auto"/>
            </w:tcBorders>
            <w:shd w:val="solid" w:color="969696" w:fill="auto"/>
            <w:vAlign w:val="center"/>
          </w:tcPr>
          <w:p w:rsidR="001E2938" w:rsidRPr="0050721B" w:rsidRDefault="001E2938" w:rsidP="001E2938">
            <w:pPr>
              <w:autoSpaceDE w:val="0"/>
              <w:autoSpaceDN w:val="0"/>
              <w:adjustRightInd w:val="0"/>
              <w:spacing w:line="276" w:lineRule="auto"/>
              <w:jc w:val="center"/>
              <w:rPr>
                <w:b/>
                <w:bCs/>
                <w:color w:val="000000"/>
              </w:rPr>
            </w:pPr>
            <w:r w:rsidRPr="0050721B">
              <w:rPr>
                <w:b/>
                <w:bCs/>
                <w:color w:val="000000"/>
              </w:rPr>
              <w:t>T o t a l i</w:t>
            </w:r>
          </w:p>
        </w:tc>
        <w:tc>
          <w:tcPr>
            <w:tcW w:w="3720" w:type="dxa"/>
            <w:gridSpan w:val="2"/>
            <w:tcBorders>
              <w:top w:val="single" w:sz="4" w:space="0" w:color="auto"/>
              <w:left w:val="single" w:sz="4" w:space="0" w:color="auto"/>
              <w:bottom w:val="single" w:sz="4" w:space="0" w:color="auto"/>
              <w:right w:val="single" w:sz="4" w:space="0" w:color="auto"/>
            </w:tcBorders>
            <w:shd w:val="solid" w:color="969696" w:fill="auto"/>
            <w:vAlign w:val="center"/>
          </w:tcPr>
          <w:p w:rsidR="001E2938" w:rsidRPr="0050721B" w:rsidRDefault="001E2938" w:rsidP="001E2938">
            <w:pPr>
              <w:spacing w:line="276" w:lineRule="auto"/>
              <w:jc w:val="center"/>
              <w:rPr>
                <w:b/>
                <w:bCs/>
              </w:rPr>
            </w:pPr>
            <w:r w:rsidRPr="0050721B">
              <w:rPr>
                <w:b/>
                <w:bCs/>
              </w:rPr>
              <w:t>174.450</w:t>
            </w:r>
          </w:p>
        </w:tc>
      </w:tr>
      <w:tr w:rsidR="003B3367" w:rsidRPr="0050721B" w:rsidTr="00E31298">
        <w:trPr>
          <w:trHeight w:val="262"/>
        </w:trPr>
        <w:tc>
          <w:tcPr>
            <w:tcW w:w="2065" w:type="dxa"/>
            <w:tcBorders>
              <w:top w:val="single" w:sz="4" w:space="0" w:color="auto"/>
              <w:left w:val="single" w:sz="4" w:space="0" w:color="auto"/>
              <w:bottom w:val="single" w:sz="4" w:space="0" w:color="auto"/>
              <w:right w:val="single" w:sz="4" w:space="0" w:color="auto"/>
            </w:tcBorders>
            <w:shd w:val="solid" w:color="969696" w:fill="auto"/>
          </w:tcPr>
          <w:p w:rsidR="003B3367" w:rsidRPr="0050721B" w:rsidRDefault="003B3367" w:rsidP="0050721B">
            <w:pPr>
              <w:autoSpaceDE w:val="0"/>
              <w:autoSpaceDN w:val="0"/>
              <w:adjustRightInd w:val="0"/>
              <w:spacing w:line="276" w:lineRule="auto"/>
              <w:jc w:val="right"/>
              <w:rPr>
                <w:color w:val="000000"/>
                <w:highlight w:val="black"/>
              </w:rPr>
            </w:pPr>
          </w:p>
        </w:tc>
        <w:tc>
          <w:tcPr>
            <w:tcW w:w="3210" w:type="dxa"/>
            <w:tcBorders>
              <w:top w:val="single" w:sz="4" w:space="0" w:color="auto"/>
              <w:left w:val="single" w:sz="4" w:space="0" w:color="auto"/>
              <w:bottom w:val="single" w:sz="4" w:space="0" w:color="auto"/>
              <w:right w:val="single" w:sz="4" w:space="0" w:color="auto"/>
            </w:tcBorders>
            <w:shd w:val="solid" w:color="969696" w:fill="auto"/>
            <w:vAlign w:val="center"/>
          </w:tcPr>
          <w:p w:rsidR="003B3367" w:rsidRPr="0050721B" w:rsidRDefault="003B3367" w:rsidP="0050721B">
            <w:pPr>
              <w:autoSpaceDE w:val="0"/>
              <w:autoSpaceDN w:val="0"/>
              <w:adjustRightInd w:val="0"/>
              <w:spacing w:line="276" w:lineRule="auto"/>
              <w:jc w:val="center"/>
              <w:rPr>
                <w:b/>
                <w:bCs/>
                <w:color w:val="000000"/>
              </w:rPr>
            </w:pPr>
          </w:p>
        </w:tc>
        <w:tc>
          <w:tcPr>
            <w:tcW w:w="3720" w:type="dxa"/>
            <w:gridSpan w:val="2"/>
            <w:tcBorders>
              <w:top w:val="single" w:sz="4" w:space="0" w:color="auto"/>
              <w:left w:val="single" w:sz="4" w:space="0" w:color="auto"/>
              <w:bottom w:val="single" w:sz="4" w:space="0" w:color="auto"/>
              <w:right w:val="single" w:sz="4" w:space="0" w:color="auto"/>
            </w:tcBorders>
            <w:shd w:val="solid" w:color="969696" w:fill="auto"/>
            <w:vAlign w:val="center"/>
          </w:tcPr>
          <w:p w:rsidR="003B3367" w:rsidRPr="0050721B" w:rsidRDefault="003B3367" w:rsidP="0050721B">
            <w:pPr>
              <w:spacing w:line="276" w:lineRule="auto"/>
              <w:rPr>
                <w:b/>
                <w:bCs/>
              </w:rPr>
            </w:pPr>
          </w:p>
        </w:tc>
      </w:tr>
    </w:tbl>
    <w:p w:rsidR="003B3367" w:rsidRPr="0050721B" w:rsidRDefault="003B3367" w:rsidP="0050721B">
      <w:pPr>
        <w:spacing w:line="276" w:lineRule="auto"/>
        <w:jc w:val="both"/>
        <w:rPr>
          <w:color w:val="0D0D0D" w:themeColor="text1" w:themeTint="F2"/>
        </w:rPr>
      </w:pPr>
      <w:r w:rsidRPr="0050721B">
        <w:t xml:space="preserve">  </w:t>
      </w:r>
    </w:p>
    <w:p w:rsidR="00D254CA" w:rsidRPr="0050721B" w:rsidRDefault="003B3367" w:rsidP="0050721B">
      <w:pPr>
        <w:spacing w:line="276" w:lineRule="auto"/>
        <w:jc w:val="both"/>
        <w:rPr>
          <w:rFonts w:eastAsia="Batang"/>
          <w:iCs/>
          <w:color w:val="0D0D0D" w:themeColor="text1" w:themeTint="F2"/>
        </w:rPr>
      </w:pPr>
      <w:r w:rsidRPr="0050721B">
        <w:rPr>
          <w:rFonts w:eastAsia="Batang"/>
          <w:iCs/>
          <w:color w:val="0D0D0D" w:themeColor="text1" w:themeTint="F2"/>
        </w:rPr>
        <w:t xml:space="preserve">Vlera e mbartur nga viti 2024, sipas artikujve buxhetore, me burim financimi donacionet/sponsorizimet </w:t>
      </w:r>
      <w:r w:rsidR="0086445A" w:rsidRPr="0050721B">
        <w:rPr>
          <w:rFonts w:eastAsia="Batang"/>
          <w:iCs/>
          <w:color w:val="0D0D0D" w:themeColor="text1" w:themeTint="F2"/>
        </w:rPr>
        <w:t xml:space="preserve">të trashëguara për vitin 2025, </w:t>
      </w:r>
      <w:r w:rsidR="00D254CA" w:rsidRPr="0050721B">
        <w:rPr>
          <w:rFonts w:eastAsia="Batang"/>
          <w:iCs/>
          <w:color w:val="0D0D0D" w:themeColor="text1" w:themeTint="F2"/>
        </w:rPr>
        <w:t>konfirm</w:t>
      </w:r>
      <w:r w:rsidR="00A312BA" w:rsidRPr="0050721B">
        <w:rPr>
          <w:rFonts w:eastAsia="Batang"/>
          <w:iCs/>
          <w:color w:val="0D0D0D" w:themeColor="text1" w:themeTint="F2"/>
        </w:rPr>
        <w:t xml:space="preserve">uar </w:t>
      </w:r>
      <w:r w:rsidR="00D254CA" w:rsidRPr="0050721B">
        <w:rPr>
          <w:rFonts w:eastAsia="Batang"/>
          <w:iCs/>
          <w:color w:val="0D0D0D" w:themeColor="text1" w:themeTint="F2"/>
        </w:rPr>
        <w:t>nga dega e thesarit</w:t>
      </w:r>
      <w:r w:rsidR="00D3657C">
        <w:rPr>
          <w:rFonts w:eastAsia="Batang"/>
          <w:iCs/>
          <w:color w:val="0D0D0D" w:themeColor="text1" w:themeTint="F2"/>
        </w:rPr>
        <w:t xml:space="preserve"> sipas shkresës nr. 649 prot, datë 13.02.2025, </w:t>
      </w:r>
      <w:r w:rsidRPr="0050721B">
        <w:rPr>
          <w:rFonts w:eastAsia="Batang"/>
          <w:iCs/>
          <w:color w:val="0D0D0D" w:themeColor="text1" w:themeTint="F2"/>
        </w:rPr>
        <w:t>paraqitet për sa e si më poshtë:</w:t>
      </w:r>
    </w:p>
    <w:p w:rsidR="00D254CA" w:rsidRPr="0050721B" w:rsidRDefault="00D254CA" w:rsidP="0050721B">
      <w:pPr>
        <w:pStyle w:val="ListParagraph"/>
        <w:numPr>
          <w:ilvl w:val="0"/>
          <w:numId w:val="3"/>
        </w:numPr>
        <w:jc w:val="both"/>
        <w:rPr>
          <w:rFonts w:ascii="Times New Roman" w:eastAsia="Batang" w:hAnsi="Times New Roman"/>
          <w:iCs/>
          <w:color w:val="0D0D0D" w:themeColor="text1" w:themeTint="F2"/>
          <w:sz w:val="24"/>
          <w:szCs w:val="24"/>
        </w:rPr>
      </w:pPr>
      <w:r w:rsidRPr="0050721B">
        <w:rPr>
          <w:rFonts w:ascii="Times New Roman" w:eastAsia="Batang" w:hAnsi="Times New Roman"/>
          <w:iCs/>
          <w:color w:val="0D0D0D" w:themeColor="text1" w:themeTint="F2"/>
          <w:sz w:val="24"/>
          <w:szCs w:val="24"/>
        </w:rPr>
        <w:t>Shpenzime</w:t>
      </w:r>
      <w:r w:rsidR="00D3657C">
        <w:rPr>
          <w:rFonts w:ascii="Times New Roman" w:eastAsia="Batang" w:hAnsi="Times New Roman"/>
          <w:iCs/>
          <w:color w:val="0D0D0D" w:themeColor="text1" w:themeTint="F2"/>
          <w:sz w:val="24"/>
          <w:szCs w:val="24"/>
        </w:rPr>
        <w:t xml:space="preserve"> operative në vlerën 1.460.170 </w:t>
      </w:r>
      <w:r w:rsidRPr="0050721B">
        <w:rPr>
          <w:rFonts w:ascii="Times New Roman" w:eastAsia="Batang" w:hAnsi="Times New Roman"/>
          <w:iCs/>
          <w:color w:val="0D0D0D" w:themeColor="text1" w:themeTint="F2"/>
          <w:sz w:val="24"/>
          <w:szCs w:val="24"/>
        </w:rPr>
        <w:t>lekë</w:t>
      </w:r>
    </w:p>
    <w:p w:rsidR="003B3367" w:rsidRPr="0050721B" w:rsidRDefault="00D254CA" w:rsidP="0050721B">
      <w:pPr>
        <w:pStyle w:val="ListParagraph"/>
        <w:numPr>
          <w:ilvl w:val="0"/>
          <w:numId w:val="3"/>
        </w:numPr>
        <w:jc w:val="both"/>
        <w:rPr>
          <w:rFonts w:ascii="Times New Roman" w:eastAsia="Batang" w:hAnsi="Times New Roman"/>
          <w:iCs/>
          <w:color w:val="0D0D0D" w:themeColor="text1" w:themeTint="F2"/>
          <w:sz w:val="24"/>
          <w:szCs w:val="24"/>
        </w:rPr>
      </w:pPr>
      <w:r w:rsidRPr="0050721B">
        <w:rPr>
          <w:rFonts w:ascii="Times New Roman" w:eastAsia="Batang" w:hAnsi="Times New Roman"/>
          <w:iCs/>
          <w:color w:val="0D0D0D" w:themeColor="text1" w:themeTint="F2"/>
          <w:sz w:val="24"/>
          <w:szCs w:val="24"/>
        </w:rPr>
        <w:t>S</w:t>
      </w:r>
      <w:r w:rsidR="00D3657C">
        <w:rPr>
          <w:rFonts w:ascii="Times New Roman" w:eastAsia="Batang" w:hAnsi="Times New Roman"/>
          <w:iCs/>
          <w:color w:val="0D0D0D" w:themeColor="text1" w:themeTint="F2"/>
          <w:sz w:val="24"/>
          <w:szCs w:val="24"/>
        </w:rPr>
        <w:t>hpenzime kapitale në vlerën 17.</w:t>
      </w:r>
      <w:r w:rsidRPr="0050721B">
        <w:rPr>
          <w:rFonts w:ascii="Times New Roman" w:eastAsia="Batang" w:hAnsi="Times New Roman"/>
          <w:iCs/>
          <w:color w:val="0D0D0D" w:themeColor="text1" w:themeTint="F2"/>
          <w:sz w:val="24"/>
          <w:szCs w:val="24"/>
        </w:rPr>
        <w:t>370.119 lekë</w:t>
      </w:r>
    </w:p>
    <w:p w:rsidR="007459DB" w:rsidRPr="0050721B" w:rsidRDefault="007459DB" w:rsidP="00E76D5D">
      <w:pPr>
        <w:spacing w:line="276" w:lineRule="auto"/>
        <w:ind w:left="90"/>
        <w:jc w:val="both"/>
        <w:rPr>
          <w:b/>
          <w:lang w:val="it-IT"/>
        </w:rPr>
      </w:pPr>
      <w:r w:rsidRPr="0050721B">
        <w:rPr>
          <w:b/>
          <w:lang w:val="it-IT"/>
        </w:rPr>
        <w:t>II.2 Performanca financiare  n</w:t>
      </w:r>
      <w:r w:rsidR="00E76D5D">
        <w:rPr>
          <w:b/>
          <w:lang w:val="it-IT"/>
        </w:rPr>
        <w:t xml:space="preserve">ë nivelin e programit buxhetor </w:t>
      </w:r>
    </w:p>
    <w:p w:rsidR="007459DB" w:rsidRPr="0050721B" w:rsidRDefault="007459DB" w:rsidP="0050721B">
      <w:pPr>
        <w:pStyle w:val="Title"/>
        <w:spacing w:after="40" w:line="276" w:lineRule="auto"/>
        <w:jc w:val="both"/>
        <w:rPr>
          <w:rFonts w:ascii="Times New Roman"/>
          <w:color w:val="0D0D0D" w:themeColor="text1" w:themeTint="F2"/>
          <w:sz w:val="24"/>
          <w:szCs w:val="24"/>
        </w:rPr>
      </w:pPr>
      <w:r w:rsidRPr="0050721B">
        <w:rPr>
          <w:rFonts w:ascii="Times New Roman"/>
          <w:color w:val="0D0D0D" w:themeColor="text1" w:themeTint="F2"/>
          <w:sz w:val="24"/>
          <w:szCs w:val="24"/>
        </w:rPr>
        <w:t xml:space="preserve">Persa i përket realizimit faktik </w:t>
      </w:r>
      <w:r w:rsidR="00D3657C">
        <w:rPr>
          <w:rFonts w:ascii="Times New Roman"/>
          <w:color w:val="0D0D0D" w:themeColor="text1" w:themeTint="F2"/>
          <w:sz w:val="24"/>
          <w:szCs w:val="24"/>
        </w:rPr>
        <w:t>Janar-</w:t>
      </w:r>
      <w:r w:rsidR="00B81AEF" w:rsidRPr="0050721B">
        <w:rPr>
          <w:rFonts w:ascii="Times New Roman"/>
          <w:color w:val="0D0D0D" w:themeColor="text1" w:themeTint="F2"/>
          <w:sz w:val="24"/>
          <w:szCs w:val="24"/>
        </w:rPr>
        <w:t xml:space="preserve">Gusht </w:t>
      </w:r>
      <w:r w:rsidR="00F844DC" w:rsidRPr="0050721B">
        <w:rPr>
          <w:rFonts w:ascii="Times New Roman"/>
          <w:color w:val="0D0D0D" w:themeColor="text1" w:themeTint="F2"/>
          <w:sz w:val="24"/>
          <w:szCs w:val="24"/>
        </w:rPr>
        <w:t xml:space="preserve">2025, </w:t>
      </w:r>
      <w:r w:rsidRPr="0050721B">
        <w:rPr>
          <w:rFonts w:ascii="Times New Roman"/>
          <w:color w:val="0D0D0D" w:themeColor="text1" w:themeTint="F2"/>
          <w:sz w:val="24"/>
          <w:szCs w:val="24"/>
        </w:rPr>
        <w:t xml:space="preserve">krahasuar me buxhetin </w:t>
      </w:r>
      <w:r w:rsidR="00D3657C">
        <w:rPr>
          <w:rFonts w:ascii="Times New Roman"/>
          <w:color w:val="0D0D0D" w:themeColor="text1" w:themeTint="F2"/>
          <w:sz w:val="24"/>
          <w:szCs w:val="24"/>
        </w:rPr>
        <w:t xml:space="preserve">vjetor të miratuar rezulton se </w:t>
      </w:r>
      <w:r w:rsidRPr="0050721B">
        <w:rPr>
          <w:rFonts w:ascii="Times New Roman"/>
          <w:color w:val="0D0D0D" w:themeColor="text1" w:themeTint="F2"/>
          <w:sz w:val="24"/>
          <w:szCs w:val="24"/>
        </w:rPr>
        <w:t xml:space="preserve">janë shpenzuar </w:t>
      </w:r>
      <w:r w:rsidR="00B81AEF" w:rsidRPr="0050721B">
        <w:rPr>
          <w:rFonts w:ascii="Times New Roman"/>
          <w:color w:val="0D0D0D" w:themeColor="text1" w:themeTint="F2"/>
          <w:sz w:val="24"/>
          <w:szCs w:val="24"/>
        </w:rPr>
        <w:t>88.672</w:t>
      </w:r>
      <w:r w:rsidRPr="0050721B">
        <w:rPr>
          <w:rFonts w:ascii="Times New Roman"/>
          <w:color w:val="0D0D0D" w:themeColor="text1" w:themeTint="F2"/>
          <w:sz w:val="24"/>
          <w:szCs w:val="24"/>
        </w:rPr>
        <w:t xml:space="preserve"> (</w:t>
      </w:r>
      <w:r w:rsidRPr="0050721B">
        <w:rPr>
          <w:rFonts w:ascii="Times New Roman"/>
          <w:i/>
          <w:color w:val="0D0D0D" w:themeColor="text1" w:themeTint="F2"/>
          <w:sz w:val="24"/>
          <w:szCs w:val="24"/>
        </w:rPr>
        <w:t>në mijë lekë</w:t>
      </w:r>
      <w:r w:rsidRPr="0050721B">
        <w:rPr>
          <w:rFonts w:ascii="Times New Roman"/>
          <w:color w:val="0D0D0D" w:themeColor="text1" w:themeTint="F2"/>
          <w:sz w:val="24"/>
          <w:szCs w:val="24"/>
        </w:rPr>
        <w:t xml:space="preserve">), ose përqindja e </w:t>
      </w:r>
      <w:r w:rsidR="00D3657C">
        <w:rPr>
          <w:rFonts w:ascii="Times New Roman"/>
          <w:color w:val="0D0D0D" w:themeColor="text1" w:themeTint="F2"/>
          <w:sz w:val="24"/>
          <w:szCs w:val="24"/>
        </w:rPr>
        <w:t xml:space="preserve">realizimit  </w:t>
      </w:r>
      <w:r w:rsidR="00D3657C">
        <w:rPr>
          <w:rFonts w:ascii="Times New Roman"/>
          <w:color w:val="0D0D0D" w:themeColor="text1" w:themeTint="F2"/>
          <w:sz w:val="24"/>
          <w:szCs w:val="24"/>
        </w:rPr>
        <w:lastRenderedPageBreak/>
        <w:t xml:space="preserve">paraqitet në total </w:t>
      </w:r>
      <w:r w:rsidRPr="0050721B">
        <w:rPr>
          <w:rFonts w:ascii="Times New Roman"/>
          <w:color w:val="0D0D0D" w:themeColor="text1" w:themeTint="F2"/>
          <w:sz w:val="24"/>
          <w:szCs w:val="24"/>
        </w:rPr>
        <w:t xml:space="preserve">në masën </w:t>
      </w:r>
      <w:r w:rsidR="00454656" w:rsidRPr="0050721B">
        <w:rPr>
          <w:rFonts w:ascii="Times New Roman"/>
          <w:color w:val="0D0D0D" w:themeColor="text1" w:themeTint="F2"/>
          <w:sz w:val="24"/>
          <w:szCs w:val="24"/>
        </w:rPr>
        <w:t>50.8</w:t>
      </w:r>
      <w:r w:rsidR="00F844DC" w:rsidRPr="0050721B">
        <w:rPr>
          <w:rFonts w:ascii="Times New Roman"/>
          <w:color w:val="0D0D0D" w:themeColor="text1" w:themeTint="F2"/>
          <w:sz w:val="24"/>
          <w:szCs w:val="24"/>
        </w:rPr>
        <w:t xml:space="preserve"> %. </w:t>
      </w:r>
      <w:r w:rsidR="0044208F" w:rsidRPr="0050721B">
        <w:rPr>
          <w:rFonts w:ascii="Times New Roman"/>
          <w:color w:val="0D0D0D" w:themeColor="text1" w:themeTint="F2"/>
          <w:sz w:val="24"/>
          <w:szCs w:val="24"/>
        </w:rPr>
        <w:t>Krahasimisht me periudhën e një viti më parë ka një rritje të lehtë</w:t>
      </w:r>
    </w:p>
    <w:p w:rsidR="00A312BA" w:rsidRPr="0050721B" w:rsidRDefault="003B3367" w:rsidP="0050721B">
      <w:pPr>
        <w:spacing w:line="276" w:lineRule="auto"/>
        <w:jc w:val="both"/>
        <w:rPr>
          <w:color w:val="0D0D0D" w:themeColor="text1" w:themeTint="F2"/>
        </w:rPr>
      </w:pPr>
      <w:r w:rsidRPr="0050721B">
        <w:rPr>
          <w:color w:val="0D0D0D" w:themeColor="text1" w:themeTint="F2"/>
        </w:rPr>
        <w:t xml:space="preserve">Tabela e mëposhtme pasqyron </w:t>
      </w:r>
      <w:r w:rsidR="004543DF" w:rsidRPr="0050721B">
        <w:rPr>
          <w:color w:val="0D0D0D" w:themeColor="text1" w:themeTint="F2"/>
        </w:rPr>
        <w:t xml:space="preserve">peshën specifike </w:t>
      </w:r>
      <w:r w:rsidRPr="0050721B">
        <w:rPr>
          <w:color w:val="0D0D0D" w:themeColor="text1" w:themeTint="F2"/>
        </w:rPr>
        <w:t xml:space="preserve">në %, </w:t>
      </w:r>
      <w:r w:rsidR="004543DF" w:rsidRPr="0050721B">
        <w:rPr>
          <w:color w:val="0D0D0D" w:themeColor="text1" w:themeTint="F2"/>
        </w:rPr>
        <w:t xml:space="preserve">të </w:t>
      </w:r>
      <w:r w:rsidRPr="0050721B">
        <w:rPr>
          <w:color w:val="0D0D0D" w:themeColor="text1" w:themeTint="F2"/>
        </w:rPr>
        <w:t>çdo kategori</w:t>
      </w:r>
      <w:r w:rsidR="004543DF" w:rsidRPr="0050721B">
        <w:rPr>
          <w:color w:val="0D0D0D" w:themeColor="text1" w:themeTint="F2"/>
        </w:rPr>
        <w:t>e</w:t>
      </w:r>
      <w:r w:rsidRPr="0050721B">
        <w:rPr>
          <w:color w:val="0D0D0D" w:themeColor="text1" w:themeTint="F2"/>
        </w:rPr>
        <w:t xml:space="preserve"> shpenzimesh, përkundrejt totalit të buxhetit, si dhe </w:t>
      </w:r>
      <w:r w:rsidR="004543DF" w:rsidRPr="0050721B">
        <w:rPr>
          <w:color w:val="0D0D0D" w:themeColor="text1" w:themeTint="F2"/>
        </w:rPr>
        <w:t xml:space="preserve">ajo e </w:t>
      </w:r>
      <w:r w:rsidRPr="0050721B">
        <w:rPr>
          <w:color w:val="0D0D0D" w:themeColor="text1" w:themeTint="F2"/>
        </w:rPr>
        <w:t xml:space="preserve">realizimi në % dhe vlerë, </w:t>
      </w:r>
      <w:r w:rsidR="004543DF" w:rsidRPr="0050721B">
        <w:rPr>
          <w:color w:val="0D0D0D" w:themeColor="text1" w:themeTint="F2"/>
        </w:rPr>
        <w:t xml:space="preserve">për </w:t>
      </w:r>
      <w:r w:rsidRPr="0050721B">
        <w:rPr>
          <w:color w:val="0D0D0D" w:themeColor="text1" w:themeTint="F2"/>
        </w:rPr>
        <w:t>secilë</w:t>
      </w:r>
      <w:r w:rsidR="004543DF" w:rsidRPr="0050721B">
        <w:rPr>
          <w:color w:val="0D0D0D" w:themeColor="text1" w:themeTint="F2"/>
        </w:rPr>
        <w:t>n</w:t>
      </w:r>
      <w:r w:rsidRPr="0050721B">
        <w:rPr>
          <w:color w:val="0D0D0D" w:themeColor="text1" w:themeTint="F2"/>
        </w:rPr>
        <w:t xml:space="preserve"> kategori shpenzimesh, përkundrejt buxhetit të akorduar</w:t>
      </w:r>
      <w:r w:rsidR="001A5D5A" w:rsidRPr="0050721B">
        <w:rPr>
          <w:color w:val="0D0D0D" w:themeColor="text1" w:themeTint="F2"/>
        </w:rPr>
        <w:t>.</w:t>
      </w:r>
      <w:r w:rsidR="004543DF" w:rsidRPr="0050721B">
        <w:rPr>
          <w:color w:val="0D0D0D" w:themeColor="text1" w:themeTint="F2"/>
        </w:rPr>
        <w:t xml:space="preserve">  </w:t>
      </w:r>
    </w:p>
    <w:p w:rsidR="00A312BA" w:rsidRPr="0050721B" w:rsidRDefault="00A312BA" w:rsidP="0050721B">
      <w:pPr>
        <w:spacing w:line="276" w:lineRule="auto"/>
        <w:jc w:val="both"/>
        <w:rPr>
          <w:color w:val="0D0D0D" w:themeColor="text1" w:themeTint="F2"/>
        </w:rPr>
      </w:pPr>
    </w:p>
    <w:p w:rsidR="003B3367" w:rsidRPr="0050721B" w:rsidRDefault="003B3367" w:rsidP="0050721B">
      <w:pPr>
        <w:pStyle w:val="BodyText3"/>
        <w:spacing w:line="276" w:lineRule="auto"/>
        <w:jc w:val="center"/>
        <w:rPr>
          <w:rFonts w:ascii="Times New Roman" w:hAnsi="Times New Roman"/>
          <w:b/>
          <w:color w:val="244061"/>
          <w:sz w:val="24"/>
          <w:szCs w:val="24"/>
        </w:rPr>
      </w:pPr>
      <w:r w:rsidRPr="0050721B">
        <w:rPr>
          <w:rFonts w:ascii="Times New Roman" w:hAnsi="Times New Roman"/>
          <w:b/>
          <w:color w:val="244061"/>
          <w:sz w:val="24"/>
          <w:szCs w:val="24"/>
        </w:rPr>
        <w:t xml:space="preserve">TABELA E AKORDIMIT TË BUXHETIT DHE REALIZIMIT </w:t>
      </w:r>
      <w:r w:rsidR="00E31298" w:rsidRPr="0050721B">
        <w:rPr>
          <w:rFonts w:ascii="Times New Roman" w:hAnsi="Times New Roman"/>
          <w:b/>
          <w:color w:val="244061"/>
          <w:sz w:val="24"/>
          <w:szCs w:val="24"/>
        </w:rPr>
        <w:t xml:space="preserve"> </w:t>
      </w:r>
    </w:p>
    <w:p w:rsidR="003B3367" w:rsidRPr="0050721B" w:rsidRDefault="00454656" w:rsidP="0050721B">
      <w:pPr>
        <w:pStyle w:val="BodyText3"/>
        <w:spacing w:line="276" w:lineRule="auto"/>
        <w:ind w:left="1440" w:firstLine="720"/>
        <w:rPr>
          <w:rFonts w:ascii="Times New Roman" w:hAnsi="Times New Roman"/>
          <w:b/>
          <w:color w:val="244061"/>
          <w:sz w:val="24"/>
          <w:szCs w:val="24"/>
        </w:rPr>
      </w:pPr>
      <w:r w:rsidRPr="0050721B">
        <w:rPr>
          <w:rFonts w:ascii="Times New Roman" w:hAnsi="Times New Roman"/>
          <w:b/>
          <w:color w:val="244061"/>
          <w:sz w:val="24"/>
          <w:szCs w:val="24"/>
        </w:rPr>
        <w:t xml:space="preserve">Periudha </w:t>
      </w:r>
      <w:r w:rsidR="003B3367" w:rsidRPr="0050721B">
        <w:rPr>
          <w:rFonts w:ascii="Times New Roman" w:hAnsi="Times New Roman"/>
          <w:b/>
          <w:color w:val="244061"/>
          <w:sz w:val="24"/>
          <w:szCs w:val="24"/>
        </w:rPr>
        <w:t>Janar–</w:t>
      </w:r>
      <w:r w:rsidRPr="0050721B">
        <w:rPr>
          <w:rFonts w:ascii="Times New Roman" w:hAnsi="Times New Roman"/>
          <w:b/>
          <w:color w:val="244061"/>
          <w:sz w:val="24"/>
          <w:szCs w:val="24"/>
        </w:rPr>
        <w:t xml:space="preserve">Gusht </w:t>
      </w:r>
      <w:r w:rsidR="00E31298" w:rsidRPr="0050721B">
        <w:rPr>
          <w:rFonts w:ascii="Times New Roman" w:hAnsi="Times New Roman"/>
          <w:b/>
          <w:color w:val="244061"/>
          <w:sz w:val="24"/>
          <w:szCs w:val="24"/>
        </w:rPr>
        <w:t>2025</w:t>
      </w:r>
      <w:r w:rsidR="003B3367" w:rsidRPr="0050721B">
        <w:rPr>
          <w:rFonts w:ascii="Times New Roman" w:hAnsi="Times New Roman"/>
          <w:b/>
          <w:color w:val="244061"/>
          <w:sz w:val="24"/>
          <w:szCs w:val="24"/>
        </w:rPr>
        <w:t xml:space="preserve">  </w:t>
      </w:r>
      <w:r w:rsidR="003B3367" w:rsidRPr="0050721B">
        <w:rPr>
          <w:rFonts w:ascii="Times New Roman" w:hAnsi="Times New Roman"/>
          <w:color w:val="215868"/>
          <w:sz w:val="24"/>
          <w:szCs w:val="24"/>
        </w:rPr>
        <w:tab/>
      </w:r>
      <w:r w:rsidR="003B3367" w:rsidRPr="0050721B">
        <w:rPr>
          <w:rFonts w:ascii="Times New Roman" w:hAnsi="Times New Roman"/>
          <w:color w:val="215868"/>
          <w:sz w:val="24"/>
          <w:szCs w:val="24"/>
        </w:rPr>
        <w:tab/>
      </w:r>
      <w:r w:rsidR="003B3367" w:rsidRPr="0050721B">
        <w:rPr>
          <w:rFonts w:ascii="Times New Roman" w:hAnsi="Times New Roman"/>
          <w:b/>
          <w:color w:val="244061"/>
          <w:sz w:val="24"/>
          <w:szCs w:val="24"/>
        </w:rPr>
        <w:t>000 / lekë</w:t>
      </w:r>
    </w:p>
    <w:tbl>
      <w:tblPr>
        <w:tblW w:w="1052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Layout w:type="fixed"/>
        <w:tblLook w:val="0000" w:firstRow="0" w:lastRow="0" w:firstColumn="0" w:lastColumn="0" w:noHBand="0" w:noVBand="0"/>
      </w:tblPr>
      <w:tblGrid>
        <w:gridCol w:w="720"/>
        <w:gridCol w:w="1823"/>
        <w:gridCol w:w="2222"/>
        <w:gridCol w:w="1710"/>
        <w:gridCol w:w="1350"/>
        <w:gridCol w:w="2700"/>
      </w:tblGrid>
      <w:tr w:rsidR="003B3367" w:rsidRPr="0050721B" w:rsidTr="00B85D2E">
        <w:trPr>
          <w:trHeight w:val="1493"/>
          <w:jc w:val="center"/>
        </w:trPr>
        <w:tc>
          <w:tcPr>
            <w:tcW w:w="720" w:type="dxa"/>
            <w:shd w:val="clear" w:color="auto" w:fill="DEEAF6"/>
          </w:tcPr>
          <w:p w:rsidR="003B3367" w:rsidRPr="0050721B" w:rsidRDefault="003B3367" w:rsidP="0050721B">
            <w:pPr>
              <w:pStyle w:val="BodyText3"/>
              <w:spacing w:line="276" w:lineRule="auto"/>
              <w:ind w:left="-15" w:firstLine="15"/>
              <w:rPr>
                <w:rFonts w:ascii="Times New Roman" w:hAnsi="Times New Roman"/>
                <w:b/>
                <w:color w:val="000000"/>
                <w:sz w:val="24"/>
                <w:szCs w:val="24"/>
              </w:rPr>
            </w:pPr>
            <w:r w:rsidRPr="0050721B">
              <w:rPr>
                <w:rFonts w:ascii="Times New Roman" w:hAnsi="Times New Roman"/>
                <w:b/>
                <w:color w:val="000000"/>
                <w:sz w:val="24"/>
                <w:szCs w:val="24"/>
              </w:rPr>
              <w:t>Nr.</w:t>
            </w:r>
          </w:p>
        </w:tc>
        <w:tc>
          <w:tcPr>
            <w:tcW w:w="1823" w:type="dxa"/>
            <w:shd w:val="clear" w:color="auto" w:fill="DEEAF6"/>
          </w:tcPr>
          <w:p w:rsidR="003B3367" w:rsidRPr="0050721B" w:rsidRDefault="003B3367" w:rsidP="0050721B">
            <w:pPr>
              <w:pStyle w:val="BodyText3"/>
              <w:spacing w:line="276" w:lineRule="auto"/>
              <w:rPr>
                <w:rFonts w:ascii="Times New Roman" w:hAnsi="Times New Roman"/>
                <w:b/>
                <w:color w:val="000000"/>
                <w:sz w:val="24"/>
                <w:szCs w:val="24"/>
              </w:rPr>
            </w:pPr>
            <w:r w:rsidRPr="0050721B">
              <w:rPr>
                <w:rFonts w:ascii="Times New Roman" w:hAnsi="Times New Roman"/>
                <w:b/>
                <w:color w:val="000000"/>
                <w:sz w:val="24"/>
                <w:szCs w:val="24"/>
              </w:rPr>
              <w:t>EMËRTIMI</w:t>
            </w:r>
          </w:p>
        </w:tc>
        <w:tc>
          <w:tcPr>
            <w:tcW w:w="2222" w:type="dxa"/>
            <w:shd w:val="clear" w:color="auto" w:fill="DEEAF6"/>
          </w:tcPr>
          <w:p w:rsidR="003B3367" w:rsidRPr="0050721B" w:rsidRDefault="003B3367" w:rsidP="00B41105">
            <w:pPr>
              <w:pStyle w:val="BodyText3"/>
              <w:spacing w:line="276" w:lineRule="auto"/>
              <w:rPr>
                <w:rFonts w:ascii="Times New Roman" w:hAnsi="Times New Roman"/>
                <w:b/>
                <w:color w:val="000000"/>
                <w:sz w:val="24"/>
                <w:szCs w:val="24"/>
              </w:rPr>
            </w:pPr>
            <w:r w:rsidRPr="0050721B">
              <w:rPr>
                <w:rFonts w:ascii="Times New Roman" w:hAnsi="Times New Roman"/>
                <w:b/>
                <w:color w:val="000000"/>
                <w:sz w:val="24"/>
                <w:szCs w:val="24"/>
              </w:rPr>
              <w:t>PLAN VJETOR 202</w:t>
            </w:r>
            <w:r w:rsidR="00E31298" w:rsidRPr="0050721B">
              <w:rPr>
                <w:rFonts w:ascii="Times New Roman" w:hAnsi="Times New Roman"/>
                <w:b/>
                <w:color w:val="000000"/>
                <w:sz w:val="24"/>
                <w:szCs w:val="24"/>
              </w:rPr>
              <w:t>5</w:t>
            </w:r>
            <w:r w:rsidR="00B41105">
              <w:rPr>
                <w:rFonts w:ascii="Times New Roman" w:hAnsi="Times New Roman"/>
                <w:b/>
                <w:color w:val="000000"/>
                <w:sz w:val="24"/>
                <w:szCs w:val="24"/>
              </w:rPr>
              <w:t xml:space="preserve">, i ndryshuar </w:t>
            </w:r>
          </w:p>
        </w:tc>
        <w:tc>
          <w:tcPr>
            <w:tcW w:w="1710" w:type="dxa"/>
            <w:shd w:val="clear" w:color="auto" w:fill="DEEAF6"/>
          </w:tcPr>
          <w:p w:rsidR="003B3367" w:rsidRPr="0050721B" w:rsidRDefault="003B3367" w:rsidP="0050721B">
            <w:pPr>
              <w:pStyle w:val="BodyText3"/>
              <w:spacing w:line="276" w:lineRule="auto"/>
              <w:rPr>
                <w:rFonts w:ascii="Times New Roman" w:hAnsi="Times New Roman"/>
                <w:b/>
                <w:color w:val="000000"/>
                <w:sz w:val="24"/>
                <w:szCs w:val="24"/>
              </w:rPr>
            </w:pPr>
            <w:r w:rsidRPr="0050721B">
              <w:rPr>
                <w:rFonts w:ascii="Times New Roman" w:hAnsi="Times New Roman"/>
                <w:b/>
                <w:sz w:val="24"/>
                <w:szCs w:val="24"/>
              </w:rPr>
              <w:t>PËRQINDJE KUNDREJT TOTALIT</w:t>
            </w:r>
          </w:p>
        </w:tc>
        <w:tc>
          <w:tcPr>
            <w:tcW w:w="1350" w:type="dxa"/>
            <w:shd w:val="clear" w:color="auto" w:fill="DEEAF6"/>
          </w:tcPr>
          <w:p w:rsidR="003B3367" w:rsidRPr="0050721B" w:rsidRDefault="003B3367" w:rsidP="0050721B">
            <w:pPr>
              <w:pStyle w:val="BodyText3"/>
              <w:spacing w:line="276" w:lineRule="auto"/>
              <w:rPr>
                <w:rFonts w:ascii="Times New Roman" w:hAnsi="Times New Roman"/>
                <w:b/>
                <w:color w:val="000000"/>
                <w:sz w:val="24"/>
                <w:szCs w:val="24"/>
              </w:rPr>
            </w:pPr>
            <w:r w:rsidRPr="0050721B">
              <w:rPr>
                <w:rFonts w:ascii="Times New Roman" w:hAnsi="Times New Roman"/>
                <w:b/>
                <w:sz w:val="24"/>
                <w:szCs w:val="24"/>
              </w:rPr>
              <w:t xml:space="preserve">FAKT </w:t>
            </w:r>
            <w:r w:rsidR="00B81AEF" w:rsidRPr="0050721B">
              <w:rPr>
                <w:rFonts w:ascii="Times New Roman" w:hAnsi="Times New Roman"/>
                <w:b/>
                <w:sz w:val="24"/>
                <w:szCs w:val="24"/>
              </w:rPr>
              <w:t xml:space="preserve">8- MUJOR </w:t>
            </w:r>
            <w:r w:rsidRPr="0050721B">
              <w:rPr>
                <w:rFonts w:ascii="Times New Roman" w:hAnsi="Times New Roman"/>
                <w:b/>
                <w:sz w:val="24"/>
                <w:szCs w:val="24"/>
              </w:rPr>
              <w:t xml:space="preserve">  </w:t>
            </w:r>
          </w:p>
        </w:tc>
        <w:tc>
          <w:tcPr>
            <w:tcW w:w="2700" w:type="dxa"/>
            <w:shd w:val="clear" w:color="auto" w:fill="DEEAF6"/>
          </w:tcPr>
          <w:p w:rsidR="003B3367" w:rsidRPr="0050721B" w:rsidRDefault="003B3367" w:rsidP="0050721B">
            <w:pPr>
              <w:pStyle w:val="BodyText3"/>
              <w:spacing w:line="276" w:lineRule="auto"/>
              <w:rPr>
                <w:rFonts w:ascii="Times New Roman" w:hAnsi="Times New Roman"/>
                <w:b/>
                <w:color w:val="000000"/>
                <w:sz w:val="24"/>
                <w:szCs w:val="24"/>
              </w:rPr>
            </w:pPr>
            <w:r w:rsidRPr="0050721B">
              <w:rPr>
                <w:rFonts w:ascii="Times New Roman" w:hAnsi="Times New Roman"/>
                <w:b/>
                <w:sz w:val="24"/>
                <w:szCs w:val="24"/>
              </w:rPr>
              <w:t>PËRQINDJE REALIZIMI KUNDREJT PLANIT VJETOR</w:t>
            </w:r>
          </w:p>
        </w:tc>
      </w:tr>
      <w:tr w:rsidR="00F03355" w:rsidRPr="0050721B" w:rsidTr="00B85D2E">
        <w:trPr>
          <w:trHeight w:val="458"/>
          <w:jc w:val="center"/>
        </w:trPr>
        <w:tc>
          <w:tcPr>
            <w:tcW w:w="720" w:type="dxa"/>
            <w:shd w:val="clear" w:color="auto" w:fill="DEEAF6"/>
          </w:tcPr>
          <w:p w:rsidR="00F03355" w:rsidRPr="0050721B" w:rsidRDefault="00F03355" w:rsidP="00F03355">
            <w:pPr>
              <w:pStyle w:val="BodyText3"/>
              <w:spacing w:line="276" w:lineRule="auto"/>
              <w:jc w:val="center"/>
              <w:rPr>
                <w:rFonts w:ascii="Times New Roman" w:hAnsi="Times New Roman"/>
                <w:color w:val="000000"/>
                <w:sz w:val="24"/>
                <w:szCs w:val="24"/>
              </w:rPr>
            </w:pPr>
            <w:r w:rsidRPr="0050721B">
              <w:rPr>
                <w:rFonts w:ascii="Times New Roman" w:hAnsi="Times New Roman"/>
                <w:color w:val="000000"/>
                <w:sz w:val="24"/>
                <w:szCs w:val="24"/>
              </w:rPr>
              <w:t>1</w:t>
            </w:r>
          </w:p>
        </w:tc>
        <w:tc>
          <w:tcPr>
            <w:tcW w:w="1823" w:type="dxa"/>
            <w:shd w:val="clear" w:color="auto" w:fill="DEEAF6"/>
          </w:tcPr>
          <w:p w:rsidR="00F03355" w:rsidRPr="0050721B" w:rsidRDefault="00F03355" w:rsidP="00F03355">
            <w:pPr>
              <w:pStyle w:val="BodyText3"/>
              <w:spacing w:line="276" w:lineRule="auto"/>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Paga</w:t>
            </w:r>
          </w:p>
        </w:tc>
        <w:tc>
          <w:tcPr>
            <w:tcW w:w="2222" w:type="dxa"/>
            <w:shd w:val="clear" w:color="auto" w:fill="DEEAF6"/>
          </w:tcPr>
          <w:p w:rsidR="00F03355" w:rsidRPr="0050721B" w:rsidRDefault="00F03355" w:rsidP="00F03355">
            <w:pPr>
              <w:spacing w:line="276" w:lineRule="auto"/>
              <w:jc w:val="center"/>
              <w:rPr>
                <w:color w:val="0D0D0D" w:themeColor="text1" w:themeTint="F2"/>
              </w:rPr>
            </w:pPr>
            <w:r w:rsidRPr="0050721B">
              <w:rPr>
                <w:color w:val="0D0D0D" w:themeColor="text1" w:themeTint="F2"/>
              </w:rPr>
              <w:t>110.140</w:t>
            </w:r>
          </w:p>
        </w:tc>
        <w:tc>
          <w:tcPr>
            <w:tcW w:w="1710" w:type="dxa"/>
            <w:shd w:val="clear" w:color="auto" w:fill="DEEAF6"/>
          </w:tcPr>
          <w:p w:rsidR="00F03355" w:rsidRPr="00B41105" w:rsidRDefault="00F03355" w:rsidP="00F03355">
            <w:pPr>
              <w:pStyle w:val="BodyText3"/>
              <w:spacing w:line="276" w:lineRule="auto"/>
              <w:jc w:val="center"/>
              <w:rPr>
                <w:rFonts w:ascii="Times New Roman" w:hAnsi="Times New Roman"/>
                <w:b/>
                <w:color w:val="0D0D0D" w:themeColor="text1" w:themeTint="F2"/>
                <w:sz w:val="24"/>
                <w:szCs w:val="24"/>
              </w:rPr>
            </w:pPr>
            <w:r w:rsidRPr="00B41105">
              <w:rPr>
                <w:rFonts w:ascii="Times New Roman" w:hAnsi="Times New Roman"/>
                <w:color w:val="0D0D0D" w:themeColor="text1" w:themeTint="F2"/>
                <w:sz w:val="24"/>
                <w:szCs w:val="24"/>
              </w:rPr>
              <w:t>63.1 %</w:t>
            </w:r>
          </w:p>
        </w:tc>
        <w:tc>
          <w:tcPr>
            <w:tcW w:w="1350" w:type="dxa"/>
            <w:shd w:val="clear" w:color="auto" w:fill="DEEAF6"/>
          </w:tcPr>
          <w:p w:rsidR="00F03355" w:rsidRPr="0050721B" w:rsidRDefault="00F03355" w:rsidP="00F03355">
            <w:pPr>
              <w:spacing w:line="276" w:lineRule="auto"/>
              <w:jc w:val="center"/>
              <w:rPr>
                <w:color w:val="0D0D0D" w:themeColor="text1" w:themeTint="F2"/>
              </w:rPr>
            </w:pPr>
            <w:r w:rsidRPr="0050721B">
              <w:rPr>
                <w:color w:val="0D0D0D" w:themeColor="text1" w:themeTint="F2"/>
              </w:rPr>
              <w:t>64.21</w:t>
            </w:r>
            <w:r>
              <w:rPr>
                <w:color w:val="0D0D0D" w:themeColor="text1" w:themeTint="F2"/>
              </w:rPr>
              <w:t>4</w:t>
            </w:r>
          </w:p>
        </w:tc>
        <w:tc>
          <w:tcPr>
            <w:tcW w:w="2700" w:type="dxa"/>
            <w:shd w:val="clear" w:color="auto" w:fill="DEEAF6"/>
          </w:tcPr>
          <w:p w:rsidR="00F03355" w:rsidRPr="0050721B" w:rsidRDefault="00F03355" w:rsidP="00F03355">
            <w:pPr>
              <w:spacing w:line="276" w:lineRule="auto"/>
              <w:jc w:val="center"/>
              <w:rPr>
                <w:color w:val="0D0D0D" w:themeColor="text1" w:themeTint="F2"/>
              </w:rPr>
            </w:pPr>
            <w:r w:rsidRPr="0050721B">
              <w:rPr>
                <w:color w:val="0D0D0D" w:themeColor="text1" w:themeTint="F2"/>
              </w:rPr>
              <w:t>58    %</w:t>
            </w:r>
          </w:p>
        </w:tc>
      </w:tr>
      <w:tr w:rsidR="00F03355" w:rsidRPr="0050721B" w:rsidTr="00B85D2E">
        <w:trPr>
          <w:trHeight w:val="953"/>
          <w:jc w:val="center"/>
        </w:trPr>
        <w:tc>
          <w:tcPr>
            <w:tcW w:w="720" w:type="dxa"/>
            <w:shd w:val="clear" w:color="auto" w:fill="DEEAF6"/>
          </w:tcPr>
          <w:p w:rsidR="00F03355" w:rsidRPr="0050721B" w:rsidRDefault="00F03355" w:rsidP="00F03355">
            <w:pPr>
              <w:pStyle w:val="BodyText3"/>
              <w:spacing w:line="276" w:lineRule="auto"/>
              <w:jc w:val="center"/>
              <w:rPr>
                <w:rFonts w:ascii="Times New Roman" w:hAnsi="Times New Roman"/>
                <w:color w:val="000000"/>
                <w:sz w:val="24"/>
                <w:szCs w:val="24"/>
              </w:rPr>
            </w:pPr>
            <w:r w:rsidRPr="0050721B">
              <w:rPr>
                <w:rFonts w:ascii="Times New Roman" w:hAnsi="Times New Roman"/>
                <w:color w:val="000000"/>
                <w:sz w:val="24"/>
                <w:szCs w:val="24"/>
              </w:rPr>
              <w:t>2</w:t>
            </w:r>
          </w:p>
        </w:tc>
        <w:tc>
          <w:tcPr>
            <w:tcW w:w="1823" w:type="dxa"/>
            <w:shd w:val="clear" w:color="auto" w:fill="DEEAF6"/>
          </w:tcPr>
          <w:p w:rsidR="00F03355" w:rsidRPr="0050721B" w:rsidRDefault="00F03355" w:rsidP="00F03355">
            <w:pPr>
              <w:pStyle w:val="BodyText3"/>
              <w:spacing w:line="276" w:lineRule="auto"/>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Sigurime shoqërore</w:t>
            </w:r>
          </w:p>
        </w:tc>
        <w:tc>
          <w:tcPr>
            <w:tcW w:w="2222" w:type="dxa"/>
            <w:shd w:val="clear" w:color="auto" w:fill="DEEAF6"/>
          </w:tcPr>
          <w:p w:rsidR="00F03355" w:rsidRPr="0050721B" w:rsidRDefault="00F03355" w:rsidP="00F03355">
            <w:pPr>
              <w:spacing w:line="276" w:lineRule="auto"/>
              <w:jc w:val="center"/>
              <w:rPr>
                <w:color w:val="0D0D0D" w:themeColor="text1" w:themeTint="F2"/>
              </w:rPr>
            </w:pPr>
            <w:r w:rsidRPr="0050721B">
              <w:rPr>
                <w:color w:val="0D0D0D" w:themeColor="text1" w:themeTint="F2"/>
              </w:rPr>
              <w:t>17.330</w:t>
            </w:r>
          </w:p>
        </w:tc>
        <w:tc>
          <w:tcPr>
            <w:tcW w:w="1710" w:type="dxa"/>
            <w:shd w:val="clear" w:color="auto" w:fill="DEEAF6"/>
          </w:tcPr>
          <w:p w:rsidR="00F03355" w:rsidRPr="00B41105" w:rsidRDefault="00F03355" w:rsidP="00F03355">
            <w:pPr>
              <w:spacing w:line="276" w:lineRule="auto"/>
              <w:jc w:val="center"/>
              <w:rPr>
                <w:color w:val="0D0D0D" w:themeColor="text1" w:themeTint="F2"/>
              </w:rPr>
            </w:pPr>
            <w:r w:rsidRPr="00B41105">
              <w:rPr>
                <w:color w:val="0D0D0D" w:themeColor="text1" w:themeTint="F2"/>
              </w:rPr>
              <w:t>9.9  %</w:t>
            </w:r>
          </w:p>
        </w:tc>
        <w:tc>
          <w:tcPr>
            <w:tcW w:w="1350" w:type="dxa"/>
            <w:shd w:val="clear" w:color="auto" w:fill="DEEAF6"/>
          </w:tcPr>
          <w:p w:rsidR="00F03355" w:rsidRPr="0050721B" w:rsidRDefault="00F03355" w:rsidP="00F03355">
            <w:pPr>
              <w:spacing w:line="276" w:lineRule="auto"/>
              <w:jc w:val="center"/>
              <w:rPr>
                <w:color w:val="0D0D0D" w:themeColor="text1" w:themeTint="F2"/>
              </w:rPr>
            </w:pPr>
            <w:r w:rsidRPr="0050721B">
              <w:rPr>
                <w:color w:val="0D0D0D" w:themeColor="text1" w:themeTint="F2"/>
              </w:rPr>
              <w:t>10.030</w:t>
            </w:r>
          </w:p>
        </w:tc>
        <w:tc>
          <w:tcPr>
            <w:tcW w:w="2700" w:type="dxa"/>
            <w:shd w:val="clear" w:color="auto" w:fill="DEEAF6"/>
          </w:tcPr>
          <w:p w:rsidR="00F03355" w:rsidRPr="0050721B" w:rsidRDefault="00F03355" w:rsidP="00F03355">
            <w:pPr>
              <w:spacing w:line="276" w:lineRule="auto"/>
              <w:ind w:left="-135"/>
              <w:jc w:val="center"/>
              <w:rPr>
                <w:color w:val="0D0D0D" w:themeColor="text1" w:themeTint="F2"/>
              </w:rPr>
            </w:pPr>
            <w:r w:rsidRPr="0050721B">
              <w:rPr>
                <w:color w:val="0D0D0D" w:themeColor="text1" w:themeTint="F2"/>
              </w:rPr>
              <w:t>58  %</w:t>
            </w:r>
          </w:p>
        </w:tc>
      </w:tr>
      <w:tr w:rsidR="00F03355" w:rsidRPr="0050721B" w:rsidTr="00B85D2E">
        <w:trPr>
          <w:jc w:val="center"/>
        </w:trPr>
        <w:tc>
          <w:tcPr>
            <w:tcW w:w="720" w:type="dxa"/>
            <w:shd w:val="clear" w:color="auto" w:fill="DEEAF6"/>
          </w:tcPr>
          <w:p w:rsidR="00F03355" w:rsidRPr="0050721B" w:rsidRDefault="00F03355" w:rsidP="00F03355">
            <w:pPr>
              <w:pStyle w:val="BodyText3"/>
              <w:spacing w:line="276" w:lineRule="auto"/>
              <w:jc w:val="center"/>
              <w:rPr>
                <w:rFonts w:ascii="Times New Roman" w:hAnsi="Times New Roman"/>
                <w:color w:val="000000"/>
                <w:sz w:val="24"/>
                <w:szCs w:val="24"/>
              </w:rPr>
            </w:pPr>
            <w:r w:rsidRPr="0050721B">
              <w:rPr>
                <w:rFonts w:ascii="Times New Roman" w:hAnsi="Times New Roman"/>
                <w:color w:val="000000"/>
                <w:sz w:val="24"/>
                <w:szCs w:val="24"/>
              </w:rPr>
              <w:t>3</w:t>
            </w:r>
          </w:p>
        </w:tc>
        <w:tc>
          <w:tcPr>
            <w:tcW w:w="1823" w:type="dxa"/>
            <w:shd w:val="clear" w:color="auto" w:fill="DEEAF6"/>
          </w:tcPr>
          <w:p w:rsidR="00F03355" w:rsidRPr="0050721B" w:rsidRDefault="00F03355" w:rsidP="00F03355">
            <w:pPr>
              <w:pStyle w:val="BodyText3"/>
              <w:spacing w:line="276" w:lineRule="auto"/>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Mallra e shërbime të tjera</w:t>
            </w:r>
          </w:p>
        </w:tc>
        <w:tc>
          <w:tcPr>
            <w:tcW w:w="2222" w:type="dxa"/>
            <w:shd w:val="clear" w:color="auto" w:fill="DEEAF6"/>
          </w:tcPr>
          <w:p w:rsidR="00F03355" w:rsidRPr="0050721B" w:rsidRDefault="00F03355" w:rsidP="00F03355">
            <w:pPr>
              <w:spacing w:line="276" w:lineRule="auto"/>
              <w:jc w:val="center"/>
              <w:rPr>
                <w:color w:val="0D0D0D" w:themeColor="text1" w:themeTint="F2"/>
              </w:rPr>
            </w:pPr>
            <w:r w:rsidRPr="0050721B">
              <w:rPr>
                <w:color w:val="0D0D0D" w:themeColor="text1" w:themeTint="F2"/>
              </w:rPr>
              <w:t>32.740</w:t>
            </w:r>
          </w:p>
        </w:tc>
        <w:tc>
          <w:tcPr>
            <w:tcW w:w="1710" w:type="dxa"/>
            <w:shd w:val="clear" w:color="auto" w:fill="DEEAF6"/>
          </w:tcPr>
          <w:p w:rsidR="00F03355" w:rsidRPr="00B41105" w:rsidRDefault="00F03355" w:rsidP="00F03355">
            <w:pPr>
              <w:spacing w:line="276" w:lineRule="auto"/>
              <w:jc w:val="center"/>
              <w:rPr>
                <w:color w:val="0D0D0D" w:themeColor="text1" w:themeTint="F2"/>
              </w:rPr>
            </w:pPr>
            <w:r w:rsidRPr="00B41105">
              <w:rPr>
                <w:color w:val="0D0D0D" w:themeColor="text1" w:themeTint="F2"/>
              </w:rPr>
              <w:t>19.3%</w:t>
            </w:r>
          </w:p>
        </w:tc>
        <w:tc>
          <w:tcPr>
            <w:tcW w:w="1350" w:type="dxa"/>
            <w:shd w:val="clear" w:color="auto" w:fill="DEEAF6"/>
          </w:tcPr>
          <w:p w:rsidR="00F03355" w:rsidRPr="0050721B" w:rsidRDefault="00F03355" w:rsidP="00F03355">
            <w:pPr>
              <w:spacing w:line="276" w:lineRule="auto"/>
              <w:jc w:val="center"/>
              <w:rPr>
                <w:color w:val="0D0D0D" w:themeColor="text1" w:themeTint="F2"/>
              </w:rPr>
            </w:pPr>
            <w:r w:rsidRPr="0050721B">
              <w:rPr>
                <w:color w:val="0D0D0D" w:themeColor="text1" w:themeTint="F2"/>
              </w:rPr>
              <w:t>13.9</w:t>
            </w:r>
            <w:r>
              <w:rPr>
                <w:color w:val="0D0D0D" w:themeColor="text1" w:themeTint="F2"/>
              </w:rPr>
              <w:t>09</w:t>
            </w:r>
          </w:p>
        </w:tc>
        <w:tc>
          <w:tcPr>
            <w:tcW w:w="2700" w:type="dxa"/>
            <w:shd w:val="clear" w:color="auto" w:fill="DEEAF6"/>
          </w:tcPr>
          <w:p w:rsidR="00F03355" w:rsidRPr="0050721B" w:rsidRDefault="00F03355" w:rsidP="00F03355">
            <w:pPr>
              <w:spacing w:line="276" w:lineRule="auto"/>
              <w:jc w:val="center"/>
              <w:rPr>
                <w:color w:val="0D0D0D" w:themeColor="text1" w:themeTint="F2"/>
              </w:rPr>
            </w:pPr>
            <w:r w:rsidRPr="0050721B">
              <w:rPr>
                <w:color w:val="0D0D0D" w:themeColor="text1" w:themeTint="F2"/>
              </w:rPr>
              <w:t>42 %</w:t>
            </w:r>
          </w:p>
        </w:tc>
      </w:tr>
      <w:tr w:rsidR="00F03355" w:rsidRPr="0050721B" w:rsidTr="00B85D2E">
        <w:trPr>
          <w:trHeight w:val="512"/>
          <w:jc w:val="center"/>
        </w:trPr>
        <w:tc>
          <w:tcPr>
            <w:tcW w:w="720" w:type="dxa"/>
            <w:shd w:val="clear" w:color="auto" w:fill="DEEAF6"/>
          </w:tcPr>
          <w:p w:rsidR="00F03355" w:rsidRPr="0050721B" w:rsidRDefault="00F03355" w:rsidP="00F03355">
            <w:pPr>
              <w:pStyle w:val="BodyText3"/>
              <w:spacing w:line="276" w:lineRule="auto"/>
              <w:jc w:val="center"/>
              <w:rPr>
                <w:rFonts w:ascii="Times New Roman" w:hAnsi="Times New Roman"/>
                <w:color w:val="000000"/>
                <w:sz w:val="24"/>
                <w:szCs w:val="24"/>
              </w:rPr>
            </w:pPr>
            <w:r w:rsidRPr="0050721B">
              <w:rPr>
                <w:rFonts w:ascii="Times New Roman" w:hAnsi="Times New Roman"/>
                <w:color w:val="000000"/>
                <w:sz w:val="24"/>
                <w:szCs w:val="24"/>
              </w:rPr>
              <w:t>4</w:t>
            </w:r>
          </w:p>
        </w:tc>
        <w:tc>
          <w:tcPr>
            <w:tcW w:w="1823" w:type="dxa"/>
            <w:shd w:val="clear" w:color="auto" w:fill="DEEAF6"/>
          </w:tcPr>
          <w:p w:rsidR="00F03355" w:rsidRPr="0050721B" w:rsidRDefault="00F03355" w:rsidP="00F03355">
            <w:pPr>
              <w:pStyle w:val="BodyText3"/>
              <w:spacing w:line="276" w:lineRule="auto"/>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Investime</w:t>
            </w:r>
          </w:p>
        </w:tc>
        <w:tc>
          <w:tcPr>
            <w:tcW w:w="2222" w:type="dxa"/>
            <w:shd w:val="clear" w:color="auto" w:fill="DEEAF6"/>
          </w:tcPr>
          <w:p w:rsidR="00F03355" w:rsidRPr="0050721B" w:rsidRDefault="00F03355" w:rsidP="00F03355">
            <w:pPr>
              <w:spacing w:line="276" w:lineRule="auto"/>
              <w:jc w:val="center"/>
              <w:rPr>
                <w:color w:val="0D0D0D" w:themeColor="text1" w:themeTint="F2"/>
              </w:rPr>
            </w:pPr>
            <w:r w:rsidRPr="0050721B">
              <w:rPr>
                <w:color w:val="0D0D0D" w:themeColor="text1" w:themeTint="F2"/>
              </w:rPr>
              <w:t>13.000</w:t>
            </w:r>
          </w:p>
        </w:tc>
        <w:tc>
          <w:tcPr>
            <w:tcW w:w="1710" w:type="dxa"/>
            <w:shd w:val="clear" w:color="auto" w:fill="DEEAF6"/>
          </w:tcPr>
          <w:p w:rsidR="00F03355" w:rsidRPr="00B41105" w:rsidRDefault="00F03355" w:rsidP="00F03355">
            <w:pPr>
              <w:spacing w:line="276" w:lineRule="auto"/>
              <w:jc w:val="center"/>
              <w:rPr>
                <w:color w:val="0D0D0D" w:themeColor="text1" w:themeTint="F2"/>
              </w:rPr>
            </w:pPr>
            <w:r w:rsidRPr="00B41105">
              <w:rPr>
                <w:color w:val="0D0D0D" w:themeColor="text1" w:themeTint="F2"/>
              </w:rPr>
              <w:t>7.4 %</w:t>
            </w:r>
          </w:p>
        </w:tc>
        <w:tc>
          <w:tcPr>
            <w:tcW w:w="1350" w:type="dxa"/>
            <w:shd w:val="clear" w:color="auto" w:fill="DEEAF6"/>
          </w:tcPr>
          <w:p w:rsidR="00F03355" w:rsidRPr="0050721B" w:rsidRDefault="00F03355" w:rsidP="00F03355">
            <w:pPr>
              <w:spacing w:line="276" w:lineRule="auto"/>
              <w:jc w:val="center"/>
              <w:rPr>
                <w:color w:val="0D0D0D" w:themeColor="text1" w:themeTint="F2"/>
              </w:rPr>
            </w:pPr>
            <w:r w:rsidRPr="0050721B">
              <w:rPr>
                <w:color w:val="0D0D0D" w:themeColor="text1" w:themeTint="F2"/>
              </w:rPr>
              <w:t>0</w:t>
            </w:r>
          </w:p>
        </w:tc>
        <w:tc>
          <w:tcPr>
            <w:tcW w:w="2700" w:type="dxa"/>
            <w:shd w:val="clear" w:color="auto" w:fill="DEEAF6"/>
          </w:tcPr>
          <w:p w:rsidR="00F03355" w:rsidRPr="0050721B" w:rsidRDefault="00F03355" w:rsidP="00F03355">
            <w:pPr>
              <w:spacing w:line="276" w:lineRule="auto"/>
              <w:jc w:val="center"/>
              <w:rPr>
                <w:color w:val="0D0D0D" w:themeColor="text1" w:themeTint="F2"/>
              </w:rPr>
            </w:pPr>
            <w:r w:rsidRPr="0050721B">
              <w:rPr>
                <w:color w:val="0D0D0D" w:themeColor="text1" w:themeTint="F2"/>
              </w:rPr>
              <w:t>0  %</w:t>
            </w:r>
          </w:p>
        </w:tc>
      </w:tr>
      <w:tr w:rsidR="00F03355" w:rsidRPr="0050721B" w:rsidTr="00B85D2E">
        <w:trPr>
          <w:jc w:val="center"/>
        </w:trPr>
        <w:tc>
          <w:tcPr>
            <w:tcW w:w="720" w:type="dxa"/>
            <w:shd w:val="clear" w:color="auto" w:fill="DEEAF6"/>
          </w:tcPr>
          <w:p w:rsidR="00F03355" w:rsidRPr="0050721B" w:rsidRDefault="00F03355" w:rsidP="00F03355">
            <w:pPr>
              <w:pStyle w:val="BodyText3"/>
              <w:spacing w:line="276" w:lineRule="auto"/>
              <w:jc w:val="center"/>
              <w:rPr>
                <w:rFonts w:ascii="Times New Roman" w:hAnsi="Times New Roman"/>
                <w:color w:val="000000"/>
                <w:sz w:val="24"/>
                <w:szCs w:val="24"/>
              </w:rPr>
            </w:pPr>
            <w:r w:rsidRPr="0050721B">
              <w:rPr>
                <w:rFonts w:ascii="Times New Roman" w:hAnsi="Times New Roman"/>
                <w:color w:val="000000"/>
                <w:sz w:val="24"/>
                <w:szCs w:val="24"/>
              </w:rPr>
              <w:t>5</w:t>
            </w:r>
          </w:p>
        </w:tc>
        <w:tc>
          <w:tcPr>
            <w:tcW w:w="1823" w:type="dxa"/>
            <w:shd w:val="clear" w:color="auto" w:fill="DEEAF6"/>
          </w:tcPr>
          <w:p w:rsidR="00F03355" w:rsidRPr="0050721B" w:rsidRDefault="00F03355" w:rsidP="00F03355">
            <w:pPr>
              <w:pStyle w:val="BodyText3"/>
              <w:spacing w:line="276" w:lineRule="auto"/>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Transferta te buxhetet familjare</w:t>
            </w:r>
          </w:p>
        </w:tc>
        <w:tc>
          <w:tcPr>
            <w:tcW w:w="2222" w:type="dxa"/>
            <w:shd w:val="clear" w:color="auto" w:fill="DEEAF6"/>
          </w:tcPr>
          <w:p w:rsidR="00F03355" w:rsidRPr="0050721B" w:rsidRDefault="00F03355" w:rsidP="00F03355">
            <w:pPr>
              <w:spacing w:line="276" w:lineRule="auto"/>
              <w:jc w:val="center"/>
              <w:rPr>
                <w:color w:val="0D0D0D" w:themeColor="text1" w:themeTint="F2"/>
              </w:rPr>
            </w:pPr>
            <w:r w:rsidRPr="0050721B">
              <w:rPr>
                <w:color w:val="0D0D0D" w:themeColor="text1" w:themeTint="F2"/>
              </w:rPr>
              <w:t>340</w:t>
            </w:r>
          </w:p>
        </w:tc>
        <w:tc>
          <w:tcPr>
            <w:tcW w:w="1710" w:type="dxa"/>
            <w:shd w:val="clear" w:color="auto" w:fill="DEEAF6"/>
          </w:tcPr>
          <w:p w:rsidR="00F03355" w:rsidRPr="00B41105" w:rsidRDefault="00F03355" w:rsidP="00F03355">
            <w:pPr>
              <w:spacing w:line="276" w:lineRule="auto"/>
              <w:jc w:val="center"/>
              <w:rPr>
                <w:color w:val="0D0D0D" w:themeColor="text1" w:themeTint="F2"/>
              </w:rPr>
            </w:pPr>
            <w:r w:rsidRPr="00B41105">
              <w:rPr>
                <w:color w:val="0D0D0D" w:themeColor="text1" w:themeTint="F2"/>
              </w:rPr>
              <w:t>0.1%</w:t>
            </w:r>
          </w:p>
        </w:tc>
        <w:tc>
          <w:tcPr>
            <w:tcW w:w="1350" w:type="dxa"/>
            <w:shd w:val="clear" w:color="auto" w:fill="DEEAF6"/>
          </w:tcPr>
          <w:p w:rsidR="00F03355" w:rsidRPr="0050721B" w:rsidRDefault="00F03355" w:rsidP="00F03355">
            <w:pPr>
              <w:spacing w:line="276" w:lineRule="auto"/>
              <w:jc w:val="center"/>
              <w:rPr>
                <w:color w:val="0D0D0D" w:themeColor="text1" w:themeTint="F2"/>
              </w:rPr>
            </w:pPr>
            <w:r w:rsidRPr="0050721B">
              <w:rPr>
                <w:color w:val="0D0D0D" w:themeColor="text1" w:themeTint="F2"/>
              </w:rPr>
              <w:t>146</w:t>
            </w:r>
          </w:p>
        </w:tc>
        <w:tc>
          <w:tcPr>
            <w:tcW w:w="2700" w:type="dxa"/>
            <w:shd w:val="clear" w:color="auto" w:fill="DEEAF6"/>
          </w:tcPr>
          <w:p w:rsidR="00F03355" w:rsidRPr="0050721B" w:rsidRDefault="00F03355" w:rsidP="00F03355">
            <w:pPr>
              <w:spacing w:line="276" w:lineRule="auto"/>
              <w:jc w:val="center"/>
              <w:rPr>
                <w:color w:val="0D0D0D" w:themeColor="text1" w:themeTint="F2"/>
              </w:rPr>
            </w:pPr>
            <w:r w:rsidRPr="0050721B">
              <w:rPr>
                <w:color w:val="0D0D0D" w:themeColor="text1" w:themeTint="F2"/>
              </w:rPr>
              <w:t>27   %</w:t>
            </w:r>
          </w:p>
        </w:tc>
      </w:tr>
      <w:tr w:rsidR="00F03355" w:rsidRPr="0050721B" w:rsidTr="00B85D2E">
        <w:trPr>
          <w:jc w:val="center"/>
        </w:trPr>
        <w:tc>
          <w:tcPr>
            <w:tcW w:w="720" w:type="dxa"/>
            <w:shd w:val="clear" w:color="auto" w:fill="DEEAF6"/>
          </w:tcPr>
          <w:p w:rsidR="00F03355" w:rsidRPr="0050721B" w:rsidRDefault="00F03355" w:rsidP="00F03355">
            <w:pPr>
              <w:pStyle w:val="BodyText3"/>
              <w:spacing w:line="276" w:lineRule="auto"/>
              <w:jc w:val="center"/>
              <w:rPr>
                <w:rFonts w:ascii="Times New Roman" w:hAnsi="Times New Roman"/>
                <w:color w:val="000000"/>
                <w:sz w:val="24"/>
                <w:szCs w:val="24"/>
              </w:rPr>
            </w:pPr>
            <w:r w:rsidRPr="0050721B">
              <w:rPr>
                <w:rFonts w:ascii="Times New Roman" w:hAnsi="Times New Roman"/>
                <w:color w:val="000000"/>
                <w:sz w:val="24"/>
                <w:szCs w:val="24"/>
              </w:rPr>
              <w:t>6</w:t>
            </w:r>
          </w:p>
        </w:tc>
        <w:tc>
          <w:tcPr>
            <w:tcW w:w="1823" w:type="dxa"/>
            <w:shd w:val="clear" w:color="auto" w:fill="DEEAF6"/>
          </w:tcPr>
          <w:p w:rsidR="00F03355" w:rsidRPr="0050721B" w:rsidRDefault="00F03355" w:rsidP="00F03355">
            <w:pPr>
              <w:pStyle w:val="BodyText3"/>
              <w:spacing w:line="276" w:lineRule="auto"/>
              <w:rPr>
                <w:rFonts w:ascii="Times New Roman" w:hAnsi="Times New Roman"/>
                <w:b/>
                <w:color w:val="0D0D0D" w:themeColor="text1" w:themeTint="F2"/>
                <w:sz w:val="24"/>
                <w:szCs w:val="24"/>
              </w:rPr>
            </w:pPr>
            <w:r w:rsidRPr="0050721B">
              <w:rPr>
                <w:rFonts w:ascii="Times New Roman" w:hAnsi="Times New Roman"/>
                <w:b/>
                <w:color w:val="0D0D0D" w:themeColor="text1" w:themeTint="F2"/>
                <w:sz w:val="24"/>
                <w:szCs w:val="24"/>
              </w:rPr>
              <w:t>Kuotizacion</w:t>
            </w:r>
          </w:p>
        </w:tc>
        <w:tc>
          <w:tcPr>
            <w:tcW w:w="2222" w:type="dxa"/>
            <w:shd w:val="clear" w:color="auto" w:fill="DEEAF6"/>
          </w:tcPr>
          <w:p w:rsidR="00F03355" w:rsidRPr="0050721B" w:rsidRDefault="00F03355" w:rsidP="00F03355">
            <w:pPr>
              <w:spacing w:line="276" w:lineRule="auto"/>
              <w:jc w:val="center"/>
              <w:rPr>
                <w:color w:val="0D0D0D" w:themeColor="text1" w:themeTint="F2"/>
              </w:rPr>
            </w:pPr>
            <w:r w:rsidRPr="0050721B">
              <w:rPr>
                <w:color w:val="0D0D0D" w:themeColor="text1" w:themeTint="F2"/>
              </w:rPr>
              <w:t>150</w:t>
            </w:r>
          </w:p>
        </w:tc>
        <w:tc>
          <w:tcPr>
            <w:tcW w:w="1710" w:type="dxa"/>
            <w:shd w:val="clear" w:color="auto" w:fill="DEEAF6"/>
          </w:tcPr>
          <w:p w:rsidR="00F03355" w:rsidRPr="00B41105" w:rsidRDefault="00F03355" w:rsidP="00F03355">
            <w:pPr>
              <w:spacing w:line="276" w:lineRule="auto"/>
              <w:jc w:val="center"/>
              <w:rPr>
                <w:color w:val="0D0D0D" w:themeColor="text1" w:themeTint="F2"/>
              </w:rPr>
            </w:pPr>
            <w:r w:rsidRPr="00B41105">
              <w:rPr>
                <w:color w:val="0D0D0D" w:themeColor="text1" w:themeTint="F2"/>
              </w:rPr>
              <w:t>0.1 %</w:t>
            </w:r>
          </w:p>
        </w:tc>
        <w:tc>
          <w:tcPr>
            <w:tcW w:w="1350" w:type="dxa"/>
            <w:shd w:val="clear" w:color="auto" w:fill="DEEAF6"/>
          </w:tcPr>
          <w:p w:rsidR="00F03355" w:rsidRPr="0050721B" w:rsidRDefault="00F03355" w:rsidP="00F03355">
            <w:pPr>
              <w:spacing w:line="276" w:lineRule="auto"/>
              <w:jc w:val="center"/>
              <w:rPr>
                <w:color w:val="0D0D0D" w:themeColor="text1" w:themeTint="F2"/>
              </w:rPr>
            </w:pPr>
            <w:r w:rsidRPr="0050721B">
              <w:rPr>
                <w:color w:val="0D0D0D" w:themeColor="text1" w:themeTint="F2"/>
              </w:rPr>
              <w:t>108</w:t>
            </w:r>
          </w:p>
        </w:tc>
        <w:tc>
          <w:tcPr>
            <w:tcW w:w="2700" w:type="dxa"/>
            <w:shd w:val="clear" w:color="auto" w:fill="DEEAF6"/>
          </w:tcPr>
          <w:p w:rsidR="00F03355" w:rsidRPr="0050721B" w:rsidRDefault="00F03355" w:rsidP="00F03355">
            <w:pPr>
              <w:spacing w:line="276" w:lineRule="auto"/>
              <w:jc w:val="center"/>
              <w:rPr>
                <w:color w:val="0D0D0D" w:themeColor="text1" w:themeTint="F2"/>
              </w:rPr>
            </w:pPr>
            <w:r w:rsidRPr="0050721B">
              <w:rPr>
                <w:color w:val="0D0D0D" w:themeColor="text1" w:themeTint="F2"/>
              </w:rPr>
              <w:t>72  %</w:t>
            </w:r>
          </w:p>
        </w:tc>
      </w:tr>
      <w:tr w:rsidR="00F03355" w:rsidRPr="0050721B" w:rsidTr="00B85D2E">
        <w:trPr>
          <w:jc w:val="center"/>
        </w:trPr>
        <w:tc>
          <w:tcPr>
            <w:tcW w:w="720" w:type="dxa"/>
            <w:shd w:val="clear" w:color="auto" w:fill="DEEAF6"/>
          </w:tcPr>
          <w:p w:rsidR="00F03355" w:rsidRPr="0050721B" w:rsidRDefault="00F03355" w:rsidP="00F03355">
            <w:pPr>
              <w:pStyle w:val="BodyText3"/>
              <w:spacing w:line="276" w:lineRule="auto"/>
              <w:jc w:val="center"/>
              <w:rPr>
                <w:rFonts w:ascii="Times New Roman" w:hAnsi="Times New Roman"/>
                <w:b/>
                <w:color w:val="000000"/>
                <w:sz w:val="24"/>
                <w:szCs w:val="24"/>
              </w:rPr>
            </w:pPr>
          </w:p>
        </w:tc>
        <w:tc>
          <w:tcPr>
            <w:tcW w:w="1823" w:type="dxa"/>
            <w:shd w:val="clear" w:color="auto" w:fill="DEEAF6"/>
          </w:tcPr>
          <w:p w:rsidR="00F03355" w:rsidRPr="0050721B" w:rsidRDefault="00F03355" w:rsidP="00F03355">
            <w:pPr>
              <w:pStyle w:val="BodyText3"/>
              <w:spacing w:line="276" w:lineRule="auto"/>
              <w:rPr>
                <w:rFonts w:ascii="Times New Roman" w:hAnsi="Times New Roman"/>
                <w:b/>
                <w:color w:val="0D0D0D" w:themeColor="text1" w:themeTint="F2"/>
                <w:sz w:val="24"/>
                <w:szCs w:val="24"/>
              </w:rPr>
            </w:pPr>
            <w:r w:rsidRPr="0050721B">
              <w:rPr>
                <w:rFonts w:ascii="Times New Roman" w:hAnsi="Times New Roman"/>
                <w:b/>
                <w:color w:val="0D0D0D" w:themeColor="text1" w:themeTint="F2"/>
                <w:sz w:val="24"/>
                <w:szCs w:val="24"/>
              </w:rPr>
              <w:t>Totali</w:t>
            </w:r>
          </w:p>
        </w:tc>
        <w:tc>
          <w:tcPr>
            <w:tcW w:w="2222" w:type="dxa"/>
            <w:shd w:val="clear" w:color="auto" w:fill="DEEAF6"/>
          </w:tcPr>
          <w:p w:rsidR="00F03355" w:rsidRPr="0050721B" w:rsidRDefault="00F03355" w:rsidP="00F03355">
            <w:pPr>
              <w:pStyle w:val="BodyText3"/>
              <w:spacing w:line="276" w:lineRule="auto"/>
              <w:jc w:val="center"/>
              <w:rPr>
                <w:rFonts w:ascii="Times New Roman" w:hAnsi="Times New Roman"/>
                <w:b/>
                <w:color w:val="0D0D0D" w:themeColor="text1" w:themeTint="F2"/>
                <w:sz w:val="24"/>
                <w:szCs w:val="24"/>
              </w:rPr>
            </w:pPr>
            <w:r w:rsidRPr="0050721B">
              <w:rPr>
                <w:rFonts w:ascii="Times New Roman" w:hAnsi="Times New Roman"/>
                <w:b/>
                <w:color w:val="0D0D0D" w:themeColor="text1" w:themeTint="F2"/>
                <w:sz w:val="24"/>
                <w:szCs w:val="24"/>
              </w:rPr>
              <w:t>173.700</w:t>
            </w:r>
          </w:p>
        </w:tc>
        <w:tc>
          <w:tcPr>
            <w:tcW w:w="1710" w:type="dxa"/>
            <w:shd w:val="clear" w:color="auto" w:fill="DEEAF6"/>
          </w:tcPr>
          <w:p w:rsidR="00F03355" w:rsidRPr="00B41105" w:rsidRDefault="00F03355" w:rsidP="00F03355">
            <w:pPr>
              <w:spacing w:line="276" w:lineRule="auto"/>
              <w:jc w:val="center"/>
              <w:rPr>
                <w:color w:val="0D0D0D" w:themeColor="text1" w:themeTint="F2"/>
              </w:rPr>
            </w:pPr>
          </w:p>
        </w:tc>
        <w:tc>
          <w:tcPr>
            <w:tcW w:w="1350" w:type="dxa"/>
            <w:shd w:val="clear" w:color="auto" w:fill="DEEAF6"/>
          </w:tcPr>
          <w:p w:rsidR="00F03355" w:rsidRPr="0050721B" w:rsidRDefault="00F03355" w:rsidP="00F03355">
            <w:pPr>
              <w:pStyle w:val="BodyText3"/>
              <w:spacing w:line="276" w:lineRule="auto"/>
              <w:jc w:val="center"/>
              <w:rPr>
                <w:rFonts w:ascii="Times New Roman" w:hAnsi="Times New Roman"/>
                <w:b/>
                <w:color w:val="0D0D0D" w:themeColor="text1" w:themeTint="F2"/>
                <w:sz w:val="24"/>
                <w:szCs w:val="24"/>
              </w:rPr>
            </w:pPr>
            <w:r w:rsidRPr="0050721B">
              <w:rPr>
                <w:rFonts w:ascii="Times New Roman" w:hAnsi="Times New Roman"/>
                <w:b/>
                <w:color w:val="0D0D0D" w:themeColor="text1" w:themeTint="F2"/>
                <w:sz w:val="24"/>
                <w:szCs w:val="24"/>
              </w:rPr>
              <w:t>88.40</w:t>
            </w:r>
            <w:r>
              <w:rPr>
                <w:rFonts w:ascii="Times New Roman" w:hAnsi="Times New Roman"/>
                <w:b/>
                <w:color w:val="0D0D0D" w:themeColor="text1" w:themeTint="F2"/>
                <w:sz w:val="24"/>
                <w:szCs w:val="24"/>
              </w:rPr>
              <w:t>7</w:t>
            </w:r>
          </w:p>
        </w:tc>
        <w:tc>
          <w:tcPr>
            <w:tcW w:w="2700" w:type="dxa"/>
            <w:shd w:val="clear" w:color="auto" w:fill="DEEAF6"/>
          </w:tcPr>
          <w:p w:rsidR="00F03355" w:rsidRPr="0050721B" w:rsidRDefault="00F03355" w:rsidP="00F03355">
            <w:pPr>
              <w:pStyle w:val="BodyText3"/>
              <w:spacing w:line="276" w:lineRule="auto"/>
              <w:jc w:val="center"/>
              <w:rPr>
                <w:rFonts w:ascii="Times New Roman" w:hAnsi="Times New Roman"/>
                <w:b/>
                <w:color w:val="0D0D0D" w:themeColor="text1" w:themeTint="F2"/>
                <w:sz w:val="24"/>
                <w:szCs w:val="24"/>
              </w:rPr>
            </w:pPr>
            <w:r w:rsidRPr="0050721B">
              <w:rPr>
                <w:rFonts w:ascii="Times New Roman" w:hAnsi="Times New Roman"/>
                <w:b/>
                <w:color w:val="0D0D0D" w:themeColor="text1" w:themeTint="F2"/>
                <w:sz w:val="24"/>
                <w:szCs w:val="24"/>
              </w:rPr>
              <w:t>5</w:t>
            </w:r>
            <w:r>
              <w:rPr>
                <w:rFonts w:ascii="Times New Roman" w:hAnsi="Times New Roman"/>
                <w:b/>
                <w:color w:val="0D0D0D" w:themeColor="text1" w:themeTint="F2"/>
                <w:sz w:val="24"/>
                <w:szCs w:val="24"/>
              </w:rPr>
              <w:t>0.89</w:t>
            </w:r>
            <w:r w:rsidRPr="0050721B">
              <w:rPr>
                <w:rFonts w:ascii="Times New Roman" w:hAnsi="Times New Roman"/>
                <w:b/>
                <w:color w:val="0D0D0D" w:themeColor="text1" w:themeTint="F2"/>
                <w:sz w:val="24"/>
                <w:szCs w:val="24"/>
              </w:rPr>
              <w:t xml:space="preserve"> %</w:t>
            </w:r>
          </w:p>
        </w:tc>
      </w:tr>
      <w:tr w:rsidR="00F03355" w:rsidRPr="0050721B" w:rsidTr="00B85D2E">
        <w:trPr>
          <w:jc w:val="center"/>
        </w:trPr>
        <w:tc>
          <w:tcPr>
            <w:tcW w:w="720" w:type="dxa"/>
            <w:shd w:val="clear" w:color="auto" w:fill="DEEAF6"/>
          </w:tcPr>
          <w:p w:rsidR="00F03355" w:rsidRPr="0050721B" w:rsidRDefault="00F03355" w:rsidP="00F03355">
            <w:pPr>
              <w:pStyle w:val="BodyText3"/>
              <w:spacing w:line="276" w:lineRule="auto"/>
              <w:jc w:val="center"/>
              <w:rPr>
                <w:rFonts w:ascii="Times New Roman" w:hAnsi="Times New Roman"/>
                <w:b/>
                <w:color w:val="000000"/>
                <w:sz w:val="24"/>
                <w:szCs w:val="24"/>
              </w:rPr>
            </w:pPr>
            <w:r w:rsidRPr="0050721B">
              <w:rPr>
                <w:rFonts w:ascii="Times New Roman" w:hAnsi="Times New Roman"/>
                <w:b/>
                <w:color w:val="000000"/>
                <w:sz w:val="24"/>
                <w:szCs w:val="24"/>
              </w:rPr>
              <w:t>7</w:t>
            </w:r>
          </w:p>
        </w:tc>
        <w:tc>
          <w:tcPr>
            <w:tcW w:w="1823" w:type="dxa"/>
            <w:shd w:val="clear" w:color="auto" w:fill="DEEAF6"/>
          </w:tcPr>
          <w:p w:rsidR="00F03355" w:rsidRPr="0050721B" w:rsidRDefault="00F03355" w:rsidP="00F03355">
            <w:pPr>
              <w:pStyle w:val="BodyText3"/>
              <w:spacing w:line="276" w:lineRule="auto"/>
              <w:rPr>
                <w:rFonts w:ascii="Times New Roman" w:hAnsi="Times New Roman"/>
                <w:b/>
                <w:color w:val="0D0D0D" w:themeColor="text1" w:themeTint="F2"/>
                <w:sz w:val="24"/>
                <w:szCs w:val="24"/>
              </w:rPr>
            </w:pPr>
            <w:r w:rsidRPr="0050721B">
              <w:rPr>
                <w:rFonts w:ascii="Times New Roman" w:hAnsi="Times New Roman"/>
                <w:b/>
                <w:color w:val="0D0D0D" w:themeColor="text1" w:themeTint="F2"/>
                <w:sz w:val="24"/>
                <w:szCs w:val="24"/>
              </w:rPr>
              <w:t>Fondi i vecantë</w:t>
            </w:r>
          </w:p>
        </w:tc>
        <w:tc>
          <w:tcPr>
            <w:tcW w:w="2222" w:type="dxa"/>
            <w:shd w:val="clear" w:color="auto" w:fill="DEEAF6"/>
          </w:tcPr>
          <w:p w:rsidR="00F03355" w:rsidRPr="0050721B" w:rsidRDefault="00F03355" w:rsidP="00F03355">
            <w:pPr>
              <w:pStyle w:val="BodyText3"/>
              <w:spacing w:line="276" w:lineRule="auto"/>
              <w:jc w:val="center"/>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750</w:t>
            </w:r>
          </w:p>
        </w:tc>
        <w:tc>
          <w:tcPr>
            <w:tcW w:w="1710" w:type="dxa"/>
            <w:shd w:val="clear" w:color="auto" w:fill="DEEAF6"/>
          </w:tcPr>
          <w:p w:rsidR="00F03355" w:rsidRPr="00B41105" w:rsidRDefault="00F03355" w:rsidP="00F03355">
            <w:pPr>
              <w:pStyle w:val="BodyText3"/>
              <w:spacing w:line="276" w:lineRule="auto"/>
              <w:jc w:val="center"/>
              <w:rPr>
                <w:rFonts w:ascii="Times New Roman" w:hAnsi="Times New Roman"/>
                <w:color w:val="0D0D0D" w:themeColor="text1" w:themeTint="F2"/>
                <w:sz w:val="24"/>
                <w:szCs w:val="24"/>
              </w:rPr>
            </w:pPr>
            <w:r w:rsidRPr="00B41105">
              <w:rPr>
                <w:rFonts w:ascii="Times New Roman" w:hAnsi="Times New Roman"/>
                <w:color w:val="0D0D0D" w:themeColor="text1" w:themeTint="F2"/>
                <w:sz w:val="24"/>
                <w:szCs w:val="24"/>
              </w:rPr>
              <w:t>0.4  %</w:t>
            </w:r>
          </w:p>
        </w:tc>
        <w:tc>
          <w:tcPr>
            <w:tcW w:w="1350" w:type="dxa"/>
            <w:shd w:val="clear" w:color="auto" w:fill="DEEAF6"/>
          </w:tcPr>
          <w:p w:rsidR="00F03355" w:rsidRPr="0050721B" w:rsidRDefault="00F03355" w:rsidP="00F03355">
            <w:pPr>
              <w:pStyle w:val="BodyText3"/>
              <w:spacing w:line="276" w:lineRule="auto"/>
              <w:jc w:val="center"/>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266</w:t>
            </w:r>
          </w:p>
        </w:tc>
        <w:tc>
          <w:tcPr>
            <w:tcW w:w="2700" w:type="dxa"/>
            <w:shd w:val="clear" w:color="auto" w:fill="DEEAF6"/>
          </w:tcPr>
          <w:p w:rsidR="00F03355" w:rsidRPr="0050721B" w:rsidRDefault="00F03355" w:rsidP="00F03355">
            <w:pPr>
              <w:pStyle w:val="BodyText3"/>
              <w:spacing w:line="276" w:lineRule="auto"/>
              <w:jc w:val="center"/>
              <w:rPr>
                <w:rFonts w:ascii="Times New Roman" w:hAnsi="Times New Roman"/>
                <w:b/>
                <w:color w:val="0D0D0D" w:themeColor="text1" w:themeTint="F2"/>
                <w:sz w:val="24"/>
                <w:szCs w:val="24"/>
              </w:rPr>
            </w:pPr>
            <w:r w:rsidRPr="0050721B">
              <w:rPr>
                <w:rFonts w:ascii="Times New Roman" w:hAnsi="Times New Roman"/>
                <w:b/>
                <w:color w:val="0D0D0D" w:themeColor="text1" w:themeTint="F2"/>
                <w:sz w:val="24"/>
                <w:szCs w:val="24"/>
              </w:rPr>
              <w:t>35</w:t>
            </w:r>
          </w:p>
        </w:tc>
      </w:tr>
      <w:tr w:rsidR="00F03355" w:rsidRPr="0050721B" w:rsidTr="00B85D2E">
        <w:trPr>
          <w:jc w:val="center"/>
        </w:trPr>
        <w:tc>
          <w:tcPr>
            <w:tcW w:w="720" w:type="dxa"/>
            <w:shd w:val="clear" w:color="auto" w:fill="DEEAF6"/>
          </w:tcPr>
          <w:p w:rsidR="00F03355" w:rsidRPr="0050721B" w:rsidRDefault="00F03355" w:rsidP="00F03355">
            <w:pPr>
              <w:pStyle w:val="BodyText3"/>
              <w:spacing w:line="276" w:lineRule="auto"/>
              <w:jc w:val="center"/>
              <w:rPr>
                <w:rFonts w:ascii="Times New Roman" w:hAnsi="Times New Roman"/>
                <w:b/>
                <w:color w:val="000000"/>
                <w:sz w:val="24"/>
                <w:szCs w:val="24"/>
              </w:rPr>
            </w:pPr>
          </w:p>
        </w:tc>
        <w:tc>
          <w:tcPr>
            <w:tcW w:w="1823" w:type="dxa"/>
            <w:shd w:val="clear" w:color="auto" w:fill="DEEAF6"/>
          </w:tcPr>
          <w:p w:rsidR="00F03355" w:rsidRPr="0050721B" w:rsidRDefault="00F03355" w:rsidP="00F03355">
            <w:pPr>
              <w:pStyle w:val="BodyText3"/>
              <w:spacing w:line="276" w:lineRule="auto"/>
              <w:rPr>
                <w:rFonts w:ascii="Times New Roman" w:hAnsi="Times New Roman"/>
                <w:b/>
                <w:color w:val="0D0D0D" w:themeColor="text1" w:themeTint="F2"/>
                <w:sz w:val="24"/>
                <w:szCs w:val="24"/>
              </w:rPr>
            </w:pPr>
            <w:r w:rsidRPr="0050721B">
              <w:rPr>
                <w:rFonts w:ascii="Times New Roman" w:hAnsi="Times New Roman"/>
                <w:b/>
                <w:color w:val="0D0D0D" w:themeColor="text1" w:themeTint="F2"/>
                <w:sz w:val="24"/>
                <w:szCs w:val="24"/>
              </w:rPr>
              <w:t xml:space="preserve">Totali  </w:t>
            </w:r>
          </w:p>
        </w:tc>
        <w:tc>
          <w:tcPr>
            <w:tcW w:w="2222" w:type="dxa"/>
            <w:shd w:val="clear" w:color="auto" w:fill="DEEAF6"/>
          </w:tcPr>
          <w:p w:rsidR="00F03355" w:rsidRPr="0050721B" w:rsidRDefault="00F03355" w:rsidP="00F03355">
            <w:pPr>
              <w:pStyle w:val="BodyText3"/>
              <w:spacing w:line="276" w:lineRule="auto"/>
              <w:jc w:val="center"/>
              <w:rPr>
                <w:rFonts w:ascii="Times New Roman" w:hAnsi="Times New Roman"/>
                <w:b/>
                <w:color w:val="0D0D0D" w:themeColor="text1" w:themeTint="F2"/>
                <w:sz w:val="24"/>
                <w:szCs w:val="24"/>
              </w:rPr>
            </w:pPr>
            <w:r w:rsidRPr="0050721B">
              <w:rPr>
                <w:rFonts w:ascii="Times New Roman" w:hAnsi="Times New Roman"/>
                <w:b/>
                <w:color w:val="0D0D0D" w:themeColor="text1" w:themeTint="F2"/>
                <w:sz w:val="24"/>
                <w:szCs w:val="24"/>
              </w:rPr>
              <w:t>174.450</w:t>
            </w:r>
          </w:p>
        </w:tc>
        <w:tc>
          <w:tcPr>
            <w:tcW w:w="1710" w:type="dxa"/>
            <w:shd w:val="clear" w:color="auto" w:fill="DEEAF6"/>
          </w:tcPr>
          <w:p w:rsidR="00F03355" w:rsidRPr="00B41105" w:rsidRDefault="00F03355" w:rsidP="00F03355">
            <w:pPr>
              <w:pStyle w:val="BodyText3"/>
              <w:spacing w:line="276" w:lineRule="auto"/>
              <w:jc w:val="center"/>
              <w:rPr>
                <w:rFonts w:ascii="Times New Roman" w:hAnsi="Times New Roman"/>
                <w:color w:val="0D0D0D" w:themeColor="text1" w:themeTint="F2"/>
                <w:sz w:val="24"/>
                <w:szCs w:val="24"/>
              </w:rPr>
            </w:pPr>
            <w:r w:rsidRPr="00B41105">
              <w:rPr>
                <w:rFonts w:ascii="Times New Roman" w:hAnsi="Times New Roman"/>
                <w:color w:val="0D0D0D" w:themeColor="text1" w:themeTint="F2"/>
                <w:sz w:val="24"/>
                <w:szCs w:val="24"/>
              </w:rPr>
              <w:t>100 %</w:t>
            </w:r>
          </w:p>
        </w:tc>
        <w:tc>
          <w:tcPr>
            <w:tcW w:w="1350" w:type="dxa"/>
            <w:shd w:val="clear" w:color="auto" w:fill="DEEAF6"/>
          </w:tcPr>
          <w:p w:rsidR="00F03355" w:rsidRPr="0050721B" w:rsidRDefault="00F03355" w:rsidP="00F03355">
            <w:pPr>
              <w:pStyle w:val="BodyText3"/>
              <w:spacing w:line="276" w:lineRule="auto"/>
              <w:jc w:val="center"/>
              <w:rPr>
                <w:rFonts w:ascii="Times New Roman" w:hAnsi="Times New Roman"/>
                <w:b/>
                <w:color w:val="0D0D0D" w:themeColor="text1" w:themeTint="F2"/>
                <w:sz w:val="24"/>
                <w:szCs w:val="24"/>
              </w:rPr>
            </w:pPr>
            <w:r w:rsidRPr="0050721B">
              <w:rPr>
                <w:rFonts w:ascii="Times New Roman" w:hAnsi="Times New Roman"/>
                <w:b/>
                <w:color w:val="0D0D0D" w:themeColor="text1" w:themeTint="F2"/>
                <w:sz w:val="24"/>
                <w:szCs w:val="24"/>
              </w:rPr>
              <w:t>88.67</w:t>
            </w:r>
            <w:r>
              <w:rPr>
                <w:rFonts w:ascii="Times New Roman" w:hAnsi="Times New Roman"/>
                <w:b/>
                <w:color w:val="0D0D0D" w:themeColor="text1" w:themeTint="F2"/>
                <w:sz w:val="24"/>
                <w:szCs w:val="24"/>
              </w:rPr>
              <w:t>3</w:t>
            </w:r>
          </w:p>
        </w:tc>
        <w:tc>
          <w:tcPr>
            <w:tcW w:w="2700" w:type="dxa"/>
            <w:shd w:val="clear" w:color="auto" w:fill="DEEAF6"/>
          </w:tcPr>
          <w:p w:rsidR="00F03355" w:rsidRPr="0050721B" w:rsidRDefault="00F03355" w:rsidP="00F03355">
            <w:pPr>
              <w:pStyle w:val="BodyText3"/>
              <w:spacing w:line="276" w:lineRule="auto"/>
              <w:jc w:val="center"/>
              <w:rPr>
                <w:rFonts w:ascii="Times New Roman" w:hAnsi="Times New Roman"/>
                <w:b/>
                <w:color w:val="0D0D0D" w:themeColor="text1" w:themeTint="F2"/>
                <w:sz w:val="24"/>
                <w:szCs w:val="24"/>
              </w:rPr>
            </w:pPr>
            <w:r>
              <w:rPr>
                <w:rFonts w:ascii="Times New Roman" w:hAnsi="Times New Roman"/>
                <w:b/>
                <w:color w:val="0D0D0D" w:themeColor="text1" w:themeTint="F2"/>
                <w:sz w:val="24"/>
                <w:szCs w:val="24"/>
              </w:rPr>
              <w:t xml:space="preserve">   </w:t>
            </w:r>
            <w:r w:rsidRPr="0050721B">
              <w:rPr>
                <w:rFonts w:ascii="Times New Roman" w:hAnsi="Times New Roman"/>
                <w:b/>
                <w:color w:val="0D0D0D" w:themeColor="text1" w:themeTint="F2"/>
                <w:sz w:val="24"/>
                <w:szCs w:val="24"/>
              </w:rPr>
              <w:t>50.8  %</w:t>
            </w:r>
          </w:p>
        </w:tc>
      </w:tr>
    </w:tbl>
    <w:p w:rsidR="00D3657C" w:rsidRPr="00E76D5D" w:rsidRDefault="00E76D5D" w:rsidP="00E76D5D">
      <w:pPr>
        <w:spacing w:line="276" w:lineRule="auto"/>
        <w:jc w:val="both"/>
        <w:rPr>
          <w:color w:val="1D1B11" w:themeColor="background2" w:themeShade="1A"/>
        </w:rPr>
      </w:pPr>
      <w:r>
        <w:rPr>
          <w:color w:val="1D1B11" w:themeColor="background2" w:themeShade="1A"/>
        </w:rPr>
        <w:t xml:space="preserve"> </w:t>
      </w:r>
    </w:p>
    <w:p w:rsidR="003B3367" w:rsidRPr="0050721B" w:rsidRDefault="003B3367" w:rsidP="0050721B">
      <w:pPr>
        <w:pStyle w:val="ListParagraph"/>
        <w:numPr>
          <w:ilvl w:val="0"/>
          <w:numId w:val="4"/>
        </w:numPr>
        <w:ind w:left="567" w:hanging="283"/>
        <w:jc w:val="both"/>
        <w:rPr>
          <w:rFonts w:ascii="Times New Roman" w:eastAsia="Batang" w:hAnsi="Times New Roman"/>
          <w:color w:val="0D0D0D" w:themeColor="text1" w:themeTint="F2"/>
          <w:sz w:val="24"/>
          <w:szCs w:val="24"/>
        </w:rPr>
      </w:pPr>
      <w:r w:rsidRPr="0050721B">
        <w:rPr>
          <w:rFonts w:ascii="Times New Roman" w:eastAsia="Batang" w:hAnsi="Times New Roman"/>
          <w:b/>
          <w:color w:val="0D0D0D" w:themeColor="text1" w:themeTint="F2"/>
          <w:sz w:val="24"/>
          <w:szCs w:val="24"/>
        </w:rPr>
        <w:t xml:space="preserve">Fondi i përgjithshëm i pagave </w:t>
      </w:r>
      <w:r w:rsidR="00B85D2E" w:rsidRPr="0050721B">
        <w:rPr>
          <w:rFonts w:ascii="Times New Roman" w:eastAsia="Batang" w:hAnsi="Times New Roman"/>
          <w:b/>
          <w:color w:val="0D0D0D" w:themeColor="text1" w:themeTint="F2"/>
          <w:sz w:val="24"/>
          <w:szCs w:val="24"/>
        </w:rPr>
        <w:t xml:space="preserve"> </w:t>
      </w:r>
      <w:r w:rsidRPr="0050721B">
        <w:rPr>
          <w:rFonts w:ascii="Times New Roman" w:eastAsia="Batang" w:hAnsi="Times New Roman"/>
          <w:b/>
          <w:color w:val="0D0D0D" w:themeColor="text1" w:themeTint="F2"/>
          <w:sz w:val="24"/>
          <w:szCs w:val="24"/>
        </w:rPr>
        <w:t>dhe i sigurimeve shoqërore</w:t>
      </w:r>
      <w:r w:rsidRPr="0050721B">
        <w:rPr>
          <w:rFonts w:ascii="Times New Roman" w:eastAsia="Batang" w:hAnsi="Times New Roman"/>
          <w:color w:val="0D0D0D" w:themeColor="text1" w:themeTint="F2"/>
          <w:sz w:val="24"/>
          <w:szCs w:val="24"/>
        </w:rPr>
        <w:t xml:space="preserve">. </w:t>
      </w:r>
    </w:p>
    <w:p w:rsidR="003B3367" w:rsidRPr="0050721B" w:rsidRDefault="003B3367" w:rsidP="0050721B">
      <w:pPr>
        <w:spacing w:after="40" w:line="276" w:lineRule="auto"/>
        <w:jc w:val="both"/>
        <w:rPr>
          <w:color w:val="0D0D0D" w:themeColor="text1" w:themeTint="F2"/>
        </w:rPr>
      </w:pPr>
      <w:r w:rsidRPr="0050721B">
        <w:rPr>
          <w:color w:val="0D0D0D" w:themeColor="text1" w:themeTint="F2"/>
        </w:rPr>
        <w:t>Nga fondi i përgjithshëm buxhetor i planifikuar për vitin 202</w:t>
      </w:r>
      <w:r w:rsidR="00413EDB" w:rsidRPr="0050721B">
        <w:rPr>
          <w:color w:val="0D0D0D" w:themeColor="text1" w:themeTint="F2"/>
        </w:rPr>
        <w:t>5</w:t>
      </w:r>
      <w:r w:rsidRPr="0050721B">
        <w:rPr>
          <w:color w:val="0D0D0D" w:themeColor="text1" w:themeTint="F2"/>
        </w:rPr>
        <w:t xml:space="preserve">, për periudhën e raportuar Zyra e Komisionerit ka shpenzuar </w:t>
      </w:r>
      <w:r w:rsidRPr="0050721B">
        <w:rPr>
          <w:b/>
          <w:color w:val="0D0D0D" w:themeColor="text1" w:themeTint="F2"/>
        </w:rPr>
        <w:t xml:space="preserve">vlerën buxhetore </w:t>
      </w:r>
      <w:r w:rsidR="00B81AEF" w:rsidRPr="0050721B">
        <w:rPr>
          <w:b/>
          <w:color w:val="0D0D0D" w:themeColor="text1" w:themeTint="F2"/>
        </w:rPr>
        <w:t>74.24</w:t>
      </w:r>
      <w:r w:rsidR="00F03355">
        <w:rPr>
          <w:b/>
          <w:color w:val="0D0D0D" w:themeColor="text1" w:themeTint="F2"/>
        </w:rPr>
        <w:t>4</w:t>
      </w:r>
      <w:r w:rsidRPr="0050721B">
        <w:rPr>
          <w:b/>
          <w:color w:val="0D0D0D" w:themeColor="text1" w:themeTint="F2"/>
        </w:rPr>
        <w:t xml:space="preserve"> (në mijë lekë)</w:t>
      </w:r>
      <w:r w:rsidRPr="0050721B">
        <w:rPr>
          <w:color w:val="0D0D0D" w:themeColor="text1" w:themeTint="F2"/>
        </w:rPr>
        <w:t xml:space="preserve">. Është realizuar buxheti për periudhën Janar- </w:t>
      </w:r>
      <w:r w:rsidR="00B81AEF" w:rsidRPr="0050721B">
        <w:rPr>
          <w:color w:val="0D0D0D" w:themeColor="text1" w:themeTint="F2"/>
        </w:rPr>
        <w:t xml:space="preserve">Gusht </w:t>
      </w:r>
      <w:r w:rsidRPr="0050721B">
        <w:rPr>
          <w:color w:val="0D0D0D" w:themeColor="text1" w:themeTint="F2"/>
        </w:rPr>
        <w:t xml:space="preserve">në masën </w:t>
      </w:r>
      <w:r w:rsidR="00D006EB" w:rsidRPr="0050721B">
        <w:rPr>
          <w:color w:val="0D0D0D" w:themeColor="text1" w:themeTint="F2"/>
        </w:rPr>
        <w:t>58</w:t>
      </w:r>
      <w:r w:rsidRPr="0050721B">
        <w:rPr>
          <w:color w:val="0D0D0D" w:themeColor="text1" w:themeTint="F2"/>
        </w:rPr>
        <w:t xml:space="preserve"> %, kundrejt planit vjetor</w:t>
      </w:r>
      <w:r w:rsidR="00D254CA" w:rsidRPr="0050721B">
        <w:rPr>
          <w:color w:val="0D0D0D" w:themeColor="text1" w:themeTint="F2"/>
        </w:rPr>
        <w:t>, os</w:t>
      </w:r>
      <w:r w:rsidR="00D3657C">
        <w:rPr>
          <w:color w:val="0D0D0D" w:themeColor="text1" w:themeTint="F2"/>
        </w:rPr>
        <w:t>e 86 % përkundrejt planifikimit</w:t>
      </w:r>
      <w:r w:rsidR="00D254CA" w:rsidRPr="0050721B">
        <w:rPr>
          <w:color w:val="0D0D0D" w:themeColor="text1" w:themeTint="F2"/>
        </w:rPr>
        <w:t xml:space="preserve"> </w:t>
      </w:r>
      <w:r w:rsidR="00D006EB" w:rsidRPr="0050721B">
        <w:rPr>
          <w:color w:val="0D0D0D" w:themeColor="text1" w:themeTint="F2"/>
        </w:rPr>
        <w:t>8</w:t>
      </w:r>
      <w:r w:rsidR="00D254CA" w:rsidRPr="0050721B">
        <w:rPr>
          <w:color w:val="0D0D0D" w:themeColor="text1" w:themeTint="F2"/>
        </w:rPr>
        <w:t xml:space="preserve">- mujor </w:t>
      </w:r>
    </w:p>
    <w:p w:rsidR="003B3367" w:rsidRPr="0050721B" w:rsidRDefault="003B3367" w:rsidP="0050721B">
      <w:pPr>
        <w:spacing w:line="276" w:lineRule="auto"/>
        <w:jc w:val="both"/>
      </w:pPr>
      <w:r w:rsidRPr="0050721B">
        <w:rPr>
          <w:rFonts w:eastAsia="Batang"/>
          <w:color w:val="0D0D0D" w:themeColor="text1" w:themeTint="F2"/>
        </w:rPr>
        <w:t xml:space="preserve">Fondi i përgjithshëm i pagave si dhe i sigurimeve shoqërore, është realizuar për numrin faktik të punonjësve në strukturë dhë </w:t>
      </w:r>
      <w:r w:rsidR="006C732A" w:rsidRPr="0050721B">
        <w:rPr>
          <w:rFonts w:eastAsia="Batang"/>
          <w:color w:val="0D0D0D" w:themeColor="text1" w:themeTint="F2"/>
        </w:rPr>
        <w:t>jashtë saj. S</w:t>
      </w:r>
      <w:r w:rsidRPr="0050721B">
        <w:t xml:space="preserve">truktura dhe organigrama e kësaj Zyre, ka ndryshuar me Vendimin e Kuvendit të Shqipërisë nr. 24/2023 “Për disa shtesa e ndryshime në </w:t>
      </w:r>
      <w:r w:rsidRPr="0050721B">
        <w:rPr>
          <w:color w:val="0D0D0D" w:themeColor="text1" w:themeTint="F2"/>
          <w:lang w:val="it-IT"/>
        </w:rPr>
        <w:t>Vendimin nr. 86/2018 “Për miratimin e strukturës, organikës dhe klasifikimit të pagave të Komisionerit për të Drejtën e Informimit dhe Mbrojtjen e të Dhënave Personale”, i ndryshuar, i cili ka 60 punonjës.</w:t>
      </w:r>
      <w:r w:rsidR="00A312BA" w:rsidRPr="0050721B">
        <w:rPr>
          <w:color w:val="0D0D0D" w:themeColor="text1" w:themeTint="F2"/>
          <w:lang w:val="it-IT"/>
        </w:rPr>
        <w:t xml:space="preserve"> Efektet e kësaj strukture kanë nisur në Janar 2024. </w:t>
      </w:r>
    </w:p>
    <w:p w:rsidR="00674AC5" w:rsidRPr="0050721B" w:rsidRDefault="003B3367" w:rsidP="0050721B">
      <w:pPr>
        <w:autoSpaceDE w:val="0"/>
        <w:autoSpaceDN w:val="0"/>
        <w:adjustRightInd w:val="0"/>
        <w:spacing w:line="276" w:lineRule="auto"/>
        <w:jc w:val="both"/>
        <w:rPr>
          <w:color w:val="0D0D0D" w:themeColor="text1" w:themeTint="F2"/>
          <w:lang w:val="it-IT"/>
        </w:rPr>
      </w:pPr>
      <w:r w:rsidRPr="0050721B">
        <w:lastRenderedPageBreak/>
        <w:t xml:space="preserve">Mosrealizimet për këtë periudhë kanë ardhur për shkak të vendeve vakante </w:t>
      </w:r>
      <w:r w:rsidR="00413EDB" w:rsidRPr="0050721B">
        <w:t>t</w:t>
      </w:r>
      <w:r w:rsidR="00B85D2E" w:rsidRPr="0050721B">
        <w:t xml:space="preserve">ë </w:t>
      </w:r>
      <w:r w:rsidR="00413EDB" w:rsidRPr="0050721B">
        <w:t xml:space="preserve"> krijuara gjat</w:t>
      </w:r>
      <w:r w:rsidR="00B85D2E" w:rsidRPr="0050721B">
        <w:t>ë</w:t>
      </w:r>
      <w:r w:rsidR="00413EDB" w:rsidRPr="0050721B">
        <w:t xml:space="preserve"> periudh</w:t>
      </w:r>
      <w:r w:rsidR="00B85D2E" w:rsidRPr="0050721B">
        <w:t>ë</w:t>
      </w:r>
      <w:r w:rsidR="00413EDB" w:rsidRPr="0050721B">
        <w:t xml:space="preserve">s Janar- </w:t>
      </w:r>
      <w:r w:rsidR="00EC5788" w:rsidRPr="0050721B">
        <w:t xml:space="preserve">gusht  </w:t>
      </w:r>
      <w:r w:rsidR="00413EDB" w:rsidRPr="0050721B">
        <w:t>2025</w:t>
      </w:r>
      <w:r w:rsidR="00B85D2E" w:rsidRPr="0050721B">
        <w:t xml:space="preserve">, </w:t>
      </w:r>
      <w:r w:rsidR="00D3657C">
        <w:t xml:space="preserve">si rezultat i largimve </w:t>
      </w:r>
      <w:r w:rsidR="00EC5788" w:rsidRPr="0050721B">
        <w:t>si pasojë e pezullimeve apo dorëheqjeve,   si dhe pritshmërisë së mir</w:t>
      </w:r>
      <w:r w:rsidR="00D3657C">
        <w:t xml:space="preserve">atimit të një strukture të re. </w:t>
      </w:r>
      <w:r w:rsidRPr="0050721B">
        <w:t xml:space="preserve">Referuar planit vjetor të rekrutimeve </w:t>
      </w:r>
      <w:r w:rsidR="00EC5788" w:rsidRPr="0050721B">
        <w:t>p</w:t>
      </w:r>
      <w:r w:rsidR="00B41105">
        <w:t>ë</w:t>
      </w:r>
      <w:r w:rsidR="00EC5788" w:rsidRPr="0050721B">
        <w:t>r periudh</w:t>
      </w:r>
      <w:r w:rsidR="00B41105">
        <w:t xml:space="preserve">ën 8- mujore, janë </w:t>
      </w:r>
      <w:r w:rsidR="00EC5788" w:rsidRPr="0050721B">
        <w:t xml:space="preserve"> </w:t>
      </w:r>
      <w:r w:rsidRPr="0050721B">
        <w:t xml:space="preserve">finalizuar </w:t>
      </w:r>
      <w:r w:rsidR="00B41105">
        <w:t xml:space="preserve"> </w:t>
      </w:r>
      <w:r w:rsidR="00413EDB" w:rsidRPr="0050721B">
        <w:t>4</w:t>
      </w:r>
      <w:r w:rsidRPr="0050721B">
        <w:t xml:space="preserve"> procedura rekrutimi</w:t>
      </w:r>
      <w:r w:rsidR="00B41105">
        <w:t>, ndërsa ka ende në proces.</w:t>
      </w:r>
      <w:r w:rsidR="00EC5788" w:rsidRPr="0050721B">
        <w:t xml:space="preserve"> </w:t>
      </w:r>
      <w:r w:rsidR="00A312BA" w:rsidRPr="0050721B">
        <w:t xml:space="preserve"> N</w:t>
      </w:r>
      <w:r w:rsidR="00674AC5" w:rsidRPr="0050721B">
        <w:t>ë</w:t>
      </w:r>
      <w:r w:rsidR="00A312BA" w:rsidRPr="0050721B">
        <w:t xml:space="preserve"> k</w:t>
      </w:r>
      <w:r w:rsidR="00674AC5" w:rsidRPr="0050721B">
        <w:t>ë</w:t>
      </w:r>
      <w:r w:rsidR="00A312BA" w:rsidRPr="0050721B">
        <w:t>t</w:t>
      </w:r>
      <w:r w:rsidR="00674AC5" w:rsidRPr="0050721B">
        <w:t xml:space="preserve">ë grup shpenzimi është përfshirë mbulimi   financiar për paga dhe sigurime </w:t>
      </w:r>
      <w:r w:rsidR="00B41105">
        <w:t xml:space="preserve">të </w:t>
      </w:r>
      <w:r w:rsidR="00674AC5" w:rsidRPr="0050721B">
        <w:t>punonjë</w:t>
      </w:r>
      <w:r w:rsidR="00D3657C">
        <w:t xml:space="preserve">sve me kontratë të përkohshme, </w:t>
      </w:r>
      <w:r w:rsidR="00674AC5" w:rsidRPr="0050721B">
        <w:t xml:space="preserve">referuar </w:t>
      </w:r>
      <w:r w:rsidR="00674AC5" w:rsidRPr="0050721B">
        <w:rPr>
          <w:lang w:val="it-IT"/>
        </w:rPr>
        <w:t xml:space="preserve">VKM-së nr.19, datë 09.01.2025 “Për përcaktimin e numrit të punonjësve me kontratë të përkohshme, për vitin 2025, në Njësitë e Qeverisjes Qendrore”, </w:t>
      </w:r>
      <w:r w:rsidR="00674AC5" w:rsidRPr="0050721B">
        <w:t xml:space="preserve">për plotësimin e nevojave të punës të këtij institucioni, sipas emërtesave dhe pozicioneve të miratuara </w:t>
      </w:r>
      <w:r w:rsidR="00674AC5" w:rsidRPr="0050721B">
        <w:rPr>
          <w:rFonts w:eastAsia="Calibri"/>
          <w:b/>
        </w:rPr>
        <w:tab/>
      </w:r>
    </w:p>
    <w:p w:rsidR="003B3367" w:rsidRPr="0050721B" w:rsidRDefault="003B3367" w:rsidP="0050721B">
      <w:pPr>
        <w:spacing w:line="276" w:lineRule="auto"/>
        <w:jc w:val="both"/>
        <w:rPr>
          <w:color w:val="0D0D0D" w:themeColor="text1" w:themeTint="F2"/>
        </w:rPr>
      </w:pPr>
    </w:p>
    <w:p w:rsidR="00B85D2E" w:rsidRPr="0050721B" w:rsidRDefault="003B3367" w:rsidP="0050721B">
      <w:pPr>
        <w:pStyle w:val="ListParagraph"/>
        <w:numPr>
          <w:ilvl w:val="0"/>
          <w:numId w:val="4"/>
        </w:numPr>
        <w:ind w:left="720"/>
        <w:jc w:val="both"/>
        <w:rPr>
          <w:rFonts w:ascii="Times New Roman" w:hAnsi="Times New Roman"/>
          <w:b/>
          <w:bCs/>
          <w:color w:val="0D0D0D" w:themeColor="text1" w:themeTint="F2"/>
          <w:sz w:val="24"/>
          <w:szCs w:val="24"/>
        </w:rPr>
      </w:pPr>
      <w:r w:rsidRPr="0050721B">
        <w:rPr>
          <w:rFonts w:ascii="Times New Roman" w:eastAsia="Batang" w:hAnsi="Times New Roman"/>
          <w:b/>
          <w:color w:val="0D0D0D" w:themeColor="text1" w:themeTint="F2"/>
          <w:sz w:val="24"/>
          <w:szCs w:val="24"/>
          <w:lang w:val="sv-SE"/>
        </w:rPr>
        <w:t xml:space="preserve">Fondi për </w:t>
      </w:r>
      <w:r w:rsidRPr="0050721B">
        <w:rPr>
          <w:rFonts w:ascii="Times New Roman" w:hAnsi="Times New Roman"/>
          <w:b/>
          <w:bCs/>
          <w:color w:val="0D0D0D" w:themeColor="text1" w:themeTint="F2"/>
          <w:sz w:val="24"/>
          <w:szCs w:val="24"/>
          <w:lang w:val="es-CL"/>
        </w:rPr>
        <w:t>Shpenzime Korente të tjera</w:t>
      </w:r>
      <w:r w:rsidRPr="0050721B">
        <w:rPr>
          <w:rFonts w:ascii="Times New Roman" w:eastAsia="Batang" w:hAnsi="Times New Roman"/>
          <w:b/>
          <w:color w:val="0D0D0D" w:themeColor="text1" w:themeTint="F2"/>
          <w:sz w:val="24"/>
          <w:szCs w:val="24"/>
          <w:lang w:val="sv-SE"/>
        </w:rPr>
        <w:t xml:space="preserve"> (602-606)</w:t>
      </w:r>
      <w:r w:rsidRPr="0050721B">
        <w:rPr>
          <w:rFonts w:ascii="Times New Roman" w:hAnsi="Times New Roman"/>
          <w:b/>
          <w:bCs/>
          <w:color w:val="0D0D0D" w:themeColor="text1" w:themeTint="F2"/>
          <w:sz w:val="24"/>
          <w:szCs w:val="24"/>
          <w:lang w:val="es-CL"/>
        </w:rPr>
        <w:t>, paraqet dina</w:t>
      </w:r>
      <w:r w:rsidR="00674AC5" w:rsidRPr="0050721B">
        <w:rPr>
          <w:rFonts w:ascii="Times New Roman" w:hAnsi="Times New Roman"/>
          <w:b/>
          <w:bCs/>
          <w:color w:val="0D0D0D" w:themeColor="text1" w:themeTint="F2"/>
          <w:sz w:val="24"/>
          <w:szCs w:val="24"/>
          <w:lang w:val="es-CL"/>
        </w:rPr>
        <w:t>mika</w:t>
      </w:r>
      <w:r w:rsidRPr="0050721B">
        <w:rPr>
          <w:rFonts w:ascii="Times New Roman" w:hAnsi="Times New Roman"/>
          <w:b/>
          <w:bCs/>
          <w:color w:val="0D0D0D" w:themeColor="text1" w:themeTint="F2"/>
          <w:sz w:val="24"/>
          <w:szCs w:val="24"/>
          <w:lang w:val="es-CL"/>
        </w:rPr>
        <w:t xml:space="preserve"> t</w:t>
      </w:r>
      <w:r w:rsidR="00B85D2E" w:rsidRPr="0050721B">
        <w:rPr>
          <w:rFonts w:ascii="Times New Roman" w:hAnsi="Times New Roman"/>
          <w:b/>
          <w:bCs/>
          <w:color w:val="0D0D0D" w:themeColor="text1" w:themeTint="F2"/>
          <w:sz w:val="24"/>
          <w:szCs w:val="24"/>
          <w:lang w:val="es-CL"/>
        </w:rPr>
        <w:t>ë</w:t>
      </w:r>
      <w:r w:rsidRPr="0050721B">
        <w:rPr>
          <w:rFonts w:ascii="Times New Roman" w:hAnsi="Times New Roman"/>
          <w:b/>
          <w:bCs/>
          <w:color w:val="0D0D0D" w:themeColor="text1" w:themeTint="F2"/>
          <w:sz w:val="24"/>
          <w:szCs w:val="24"/>
          <w:lang w:val="es-CL"/>
        </w:rPr>
        <w:t xml:space="preserve"> ndryshme</w:t>
      </w:r>
      <w:r w:rsidR="00674AC5" w:rsidRPr="0050721B">
        <w:rPr>
          <w:rFonts w:ascii="Times New Roman" w:hAnsi="Times New Roman"/>
          <w:b/>
          <w:bCs/>
          <w:color w:val="0D0D0D" w:themeColor="text1" w:themeTint="F2"/>
          <w:sz w:val="24"/>
          <w:szCs w:val="24"/>
          <w:lang w:val="es-CL"/>
        </w:rPr>
        <w:t xml:space="preserve">, </w:t>
      </w:r>
      <w:r w:rsidRPr="0050721B">
        <w:rPr>
          <w:rFonts w:ascii="Times New Roman" w:hAnsi="Times New Roman"/>
          <w:b/>
          <w:bCs/>
          <w:color w:val="0D0D0D" w:themeColor="text1" w:themeTint="F2"/>
          <w:sz w:val="24"/>
          <w:szCs w:val="24"/>
          <w:lang w:val="es-CL"/>
        </w:rPr>
        <w:t xml:space="preserve"> sipas nevo</w:t>
      </w:r>
      <w:r w:rsidR="00674AC5" w:rsidRPr="0050721B">
        <w:rPr>
          <w:rFonts w:ascii="Times New Roman" w:hAnsi="Times New Roman"/>
          <w:b/>
          <w:bCs/>
          <w:color w:val="0D0D0D" w:themeColor="text1" w:themeTint="F2"/>
          <w:sz w:val="24"/>
          <w:szCs w:val="24"/>
          <w:lang w:val="es-CL"/>
        </w:rPr>
        <w:t>jave</w:t>
      </w:r>
      <w:r w:rsidRPr="0050721B">
        <w:rPr>
          <w:rFonts w:ascii="Times New Roman" w:hAnsi="Times New Roman"/>
          <w:b/>
          <w:bCs/>
          <w:color w:val="0D0D0D" w:themeColor="text1" w:themeTint="F2"/>
          <w:sz w:val="24"/>
          <w:szCs w:val="24"/>
          <w:lang w:val="es-CL"/>
        </w:rPr>
        <w:t xml:space="preserve"> dhe ritmit t</w:t>
      </w:r>
      <w:r w:rsidR="00B85D2E" w:rsidRPr="0050721B">
        <w:rPr>
          <w:rFonts w:ascii="Times New Roman" w:hAnsi="Times New Roman"/>
          <w:b/>
          <w:bCs/>
          <w:color w:val="0D0D0D" w:themeColor="text1" w:themeTint="F2"/>
          <w:sz w:val="24"/>
          <w:szCs w:val="24"/>
          <w:lang w:val="es-CL"/>
        </w:rPr>
        <w:t xml:space="preserve">ë </w:t>
      </w:r>
      <w:r w:rsidRPr="0050721B">
        <w:rPr>
          <w:rFonts w:ascii="Times New Roman" w:hAnsi="Times New Roman"/>
          <w:b/>
          <w:bCs/>
          <w:color w:val="0D0D0D" w:themeColor="text1" w:themeTint="F2"/>
          <w:sz w:val="24"/>
          <w:szCs w:val="24"/>
          <w:lang w:val="es-CL"/>
        </w:rPr>
        <w:t xml:space="preserve"> procedurave t</w:t>
      </w:r>
      <w:r w:rsidR="00B85D2E" w:rsidRPr="0050721B">
        <w:rPr>
          <w:rFonts w:ascii="Times New Roman" w:hAnsi="Times New Roman"/>
          <w:b/>
          <w:bCs/>
          <w:color w:val="0D0D0D" w:themeColor="text1" w:themeTint="F2"/>
          <w:sz w:val="24"/>
          <w:szCs w:val="24"/>
          <w:lang w:val="es-CL"/>
        </w:rPr>
        <w:t xml:space="preserve">ë </w:t>
      </w:r>
      <w:r w:rsidR="00674AC5" w:rsidRPr="0050721B">
        <w:rPr>
          <w:rFonts w:ascii="Times New Roman" w:hAnsi="Times New Roman"/>
          <w:b/>
          <w:bCs/>
          <w:color w:val="0D0D0D" w:themeColor="text1" w:themeTint="F2"/>
          <w:sz w:val="24"/>
          <w:szCs w:val="24"/>
          <w:lang w:val="es-CL"/>
        </w:rPr>
        <w:t xml:space="preserve"> prokurimit</w:t>
      </w:r>
      <w:r w:rsidRPr="0050721B">
        <w:rPr>
          <w:rFonts w:ascii="Times New Roman" w:hAnsi="Times New Roman"/>
          <w:b/>
          <w:bCs/>
          <w:color w:val="0D0D0D" w:themeColor="text1" w:themeTint="F2"/>
          <w:sz w:val="24"/>
          <w:szCs w:val="24"/>
          <w:lang w:val="es-CL"/>
        </w:rPr>
        <w:t xml:space="preserve">. </w:t>
      </w:r>
      <w:r w:rsidR="00413EDB" w:rsidRPr="0050721B">
        <w:rPr>
          <w:rFonts w:ascii="Times New Roman" w:hAnsi="Times New Roman"/>
          <w:b/>
          <w:bCs/>
          <w:color w:val="0D0D0D" w:themeColor="text1" w:themeTint="F2"/>
          <w:sz w:val="24"/>
          <w:szCs w:val="24"/>
          <w:lang w:val="es-CL"/>
        </w:rPr>
        <w:t xml:space="preserve"> </w:t>
      </w:r>
    </w:p>
    <w:p w:rsidR="00D254CA" w:rsidRPr="00C07165" w:rsidRDefault="00413EDB" w:rsidP="0050721B">
      <w:pPr>
        <w:spacing w:after="40" w:line="276" w:lineRule="auto"/>
        <w:jc w:val="both"/>
        <w:rPr>
          <w:color w:val="0D0D0D" w:themeColor="text1" w:themeTint="F2"/>
        </w:rPr>
      </w:pPr>
      <w:r w:rsidRPr="00C07165">
        <w:rPr>
          <w:bCs/>
          <w:color w:val="0D0D0D" w:themeColor="text1" w:themeTint="F2"/>
          <w:lang w:val="es-CL"/>
        </w:rPr>
        <w:t>P</w:t>
      </w:r>
      <w:r w:rsidR="003B3367" w:rsidRPr="00C07165">
        <w:rPr>
          <w:bCs/>
          <w:color w:val="0D0D0D" w:themeColor="text1" w:themeTint="F2"/>
          <w:lang w:val="es-CL"/>
        </w:rPr>
        <w:t xml:space="preserve">ër </w:t>
      </w:r>
      <w:r w:rsidR="003B3367" w:rsidRPr="00C07165">
        <w:rPr>
          <w:rFonts w:eastAsia="Batang"/>
          <w:color w:val="0D0D0D" w:themeColor="text1" w:themeTint="F2"/>
          <w:lang w:val="sv-SE"/>
        </w:rPr>
        <w:t xml:space="preserve">periudhën </w:t>
      </w:r>
      <w:r w:rsidR="00E16DF6" w:rsidRPr="00C07165">
        <w:rPr>
          <w:rFonts w:eastAsia="Batang"/>
          <w:color w:val="0D0D0D" w:themeColor="text1" w:themeTint="F2"/>
          <w:lang w:val="sv-SE"/>
        </w:rPr>
        <w:t xml:space="preserve">raportuese, </w:t>
      </w:r>
      <w:r w:rsidR="003B3367" w:rsidRPr="00C07165">
        <w:rPr>
          <w:rFonts w:eastAsia="Batang"/>
          <w:color w:val="0D0D0D" w:themeColor="text1" w:themeTint="F2"/>
          <w:lang w:val="sv-SE"/>
        </w:rPr>
        <w:t>Janar-</w:t>
      </w:r>
      <w:r w:rsidR="00EC5788" w:rsidRPr="00C07165">
        <w:rPr>
          <w:rFonts w:eastAsia="Batang"/>
          <w:color w:val="0D0D0D" w:themeColor="text1" w:themeTint="F2"/>
          <w:lang w:val="sv-SE"/>
        </w:rPr>
        <w:t xml:space="preserve">Gusht </w:t>
      </w:r>
      <w:r w:rsidR="003B3367" w:rsidRPr="00C07165">
        <w:rPr>
          <w:rFonts w:eastAsia="Batang"/>
          <w:color w:val="0D0D0D" w:themeColor="text1" w:themeTint="F2"/>
          <w:lang w:val="sv-SE"/>
        </w:rPr>
        <w:t>202</w:t>
      </w:r>
      <w:r w:rsidRPr="00C07165">
        <w:rPr>
          <w:rFonts w:eastAsia="Batang"/>
          <w:color w:val="0D0D0D" w:themeColor="text1" w:themeTint="F2"/>
          <w:lang w:val="sv-SE"/>
        </w:rPr>
        <w:t>5</w:t>
      </w:r>
      <w:r w:rsidR="003B3367" w:rsidRPr="00C07165">
        <w:rPr>
          <w:rFonts w:eastAsia="Batang"/>
          <w:color w:val="0D0D0D" w:themeColor="text1" w:themeTint="F2"/>
          <w:lang w:val="sv-SE"/>
        </w:rPr>
        <w:t xml:space="preserve">, </w:t>
      </w:r>
      <w:r w:rsidR="00674AC5" w:rsidRPr="00C07165">
        <w:rPr>
          <w:rFonts w:eastAsia="Batang"/>
          <w:color w:val="0D0D0D" w:themeColor="text1" w:themeTint="F2"/>
          <w:lang w:val="sv-SE"/>
        </w:rPr>
        <w:t xml:space="preserve">ky grup shpenzimi </w:t>
      </w:r>
      <w:r w:rsidR="003B3367" w:rsidRPr="00C07165">
        <w:rPr>
          <w:rFonts w:eastAsia="Batang"/>
          <w:color w:val="0D0D0D" w:themeColor="text1" w:themeTint="F2"/>
          <w:lang w:val="sv-SE"/>
        </w:rPr>
        <w:t xml:space="preserve">është realizuar </w:t>
      </w:r>
      <w:r w:rsidR="003B3367" w:rsidRPr="00C07165">
        <w:rPr>
          <w:bCs/>
          <w:color w:val="0D0D0D" w:themeColor="text1" w:themeTint="F2"/>
          <w:lang w:val="es-CL"/>
        </w:rPr>
        <w:t xml:space="preserve">në vlerën </w:t>
      </w:r>
      <w:r w:rsidR="00EC5788" w:rsidRPr="00C07165">
        <w:rPr>
          <w:b/>
          <w:bCs/>
          <w:color w:val="0D0D0D" w:themeColor="text1" w:themeTint="F2"/>
          <w:lang w:val="es-CL"/>
        </w:rPr>
        <w:t xml:space="preserve">14.429 </w:t>
      </w:r>
      <w:r w:rsidR="003B3367" w:rsidRPr="00C07165">
        <w:rPr>
          <w:rFonts w:eastAsia="Batang"/>
          <w:color w:val="0D0D0D" w:themeColor="text1" w:themeTint="F2"/>
        </w:rPr>
        <w:t xml:space="preserve">ose rreth </w:t>
      </w:r>
      <w:r w:rsidR="00454656" w:rsidRPr="00C07165">
        <w:rPr>
          <w:rFonts w:eastAsia="Batang"/>
          <w:color w:val="0D0D0D" w:themeColor="text1" w:themeTint="F2"/>
        </w:rPr>
        <w:t>30.7</w:t>
      </w:r>
      <w:r w:rsidR="003B3367" w:rsidRPr="00C07165">
        <w:rPr>
          <w:rFonts w:eastAsia="Batang"/>
          <w:color w:val="0D0D0D" w:themeColor="text1" w:themeTint="F2"/>
        </w:rPr>
        <w:t xml:space="preserve">% e fondit të planifikuar vjetor, </w:t>
      </w:r>
      <w:r w:rsidR="00D254CA" w:rsidRPr="00C07165">
        <w:rPr>
          <w:rFonts w:eastAsia="Batang"/>
          <w:color w:val="0D0D0D" w:themeColor="text1" w:themeTint="F2"/>
        </w:rPr>
        <w:t xml:space="preserve">ose </w:t>
      </w:r>
      <w:r w:rsidR="00F844DC" w:rsidRPr="00C07165">
        <w:rPr>
          <w:rFonts w:eastAsia="Batang"/>
          <w:color w:val="0D0D0D" w:themeColor="text1" w:themeTint="F2"/>
        </w:rPr>
        <w:t xml:space="preserve">rreth </w:t>
      </w:r>
      <w:r w:rsidR="00D3657C">
        <w:rPr>
          <w:rFonts w:eastAsia="Batang"/>
          <w:color w:val="0D0D0D" w:themeColor="text1" w:themeTint="F2"/>
        </w:rPr>
        <w:t>59</w:t>
      </w:r>
      <w:r w:rsidR="00D254CA" w:rsidRPr="00C07165">
        <w:rPr>
          <w:rFonts w:eastAsia="Batang"/>
          <w:color w:val="0D0D0D" w:themeColor="text1" w:themeTint="F2"/>
        </w:rPr>
        <w:t>%</w:t>
      </w:r>
      <w:r w:rsidR="00F844DC" w:rsidRPr="00C07165">
        <w:rPr>
          <w:rFonts w:eastAsia="Batang"/>
          <w:color w:val="0D0D0D" w:themeColor="text1" w:themeTint="F2"/>
        </w:rPr>
        <w:t xml:space="preserve">, </w:t>
      </w:r>
      <w:r w:rsidR="00D3657C">
        <w:rPr>
          <w:color w:val="0D0D0D" w:themeColor="text1" w:themeTint="F2"/>
        </w:rPr>
        <w:t xml:space="preserve">përkundrejt planifikimit </w:t>
      </w:r>
      <w:r w:rsidR="00EC5788" w:rsidRPr="00C07165">
        <w:rPr>
          <w:color w:val="0D0D0D" w:themeColor="text1" w:themeTint="F2"/>
        </w:rPr>
        <w:t>8</w:t>
      </w:r>
      <w:r w:rsidR="00D254CA" w:rsidRPr="00C07165">
        <w:rPr>
          <w:color w:val="0D0D0D" w:themeColor="text1" w:themeTint="F2"/>
        </w:rPr>
        <w:t xml:space="preserve">- mujor. </w:t>
      </w:r>
    </w:p>
    <w:p w:rsidR="00413EDB" w:rsidRPr="0050721B" w:rsidRDefault="00674AC5" w:rsidP="0050721B">
      <w:pPr>
        <w:spacing w:line="276" w:lineRule="auto"/>
        <w:jc w:val="both"/>
        <w:rPr>
          <w:b/>
          <w:bCs/>
          <w:color w:val="0D0D0D" w:themeColor="text1" w:themeTint="F2"/>
        </w:rPr>
      </w:pPr>
      <w:r w:rsidRPr="0050721B">
        <w:rPr>
          <w:color w:val="0D0D0D" w:themeColor="text1" w:themeTint="F2"/>
        </w:rPr>
        <w:t>Shpenzimet në këtë grup kanë konsistuar</w:t>
      </w:r>
      <w:r w:rsidRPr="0050721B">
        <w:rPr>
          <w:color w:val="0D0D0D" w:themeColor="text1" w:themeTint="F2"/>
          <w:lang w:val="it-IT"/>
        </w:rPr>
        <w:t xml:space="preserve"> </w:t>
      </w:r>
      <w:r w:rsidR="00EA0752" w:rsidRPr="0050721B">
        <w:rPr>
          <w:color w:val="0D0D0D" w:themeColor="text1" w:themeTint="F2"/>
          <w:lang w:val="it-IT"/>
        </w:rPr>
        <w:t>në</w:t>
      </w:r>
      <w:r w:rsidR="00413EDB" w:rsidRPr="0050721B">
        <w:rPr>
          <w:color w:val="0D0D0D" w:themeColor="text1" w:themeTint="F2"/>
          <w:lang w:val="it-IT"/>
        </w:rPr>
        <w:t xml:space="preserve"> </w:t>
      </w:r>
      <w:r w:rsidRPr="0050721B">
        <w:rPr>
          <w:color w:val="0D0D0D" w:themeColor="text1" w:themeTint="F2"/>
          <w:lang w:val="it-IT"/>
        </w:rPr>
        <w:t xml:space="preserve">mbulimin </w:t>
      </w:r>
      <w:r w:rsidR="00EA0752" w:rsidRPr="0050721B">
        <w:rPr>
          <w:color w:val="0D0D0D" w:themeColor="text1" w:themeTint="F2"/>
          <w:lang w:val="it-IT"/>
        </w:rPr>
        <w:t xml:space="preserve">e </w:t>
      </w:r>
      <w:r w:rsidR="00413EDB" w:rsidRPr="0050721B">
        <w:rPr>
          <w:color w:val="0D0D0D" w:themeColor="text1" w:themeTint="F2"/>
          <w:lang w:val="it-IT"/>
        </w:rPr>
        <w:t>shërbime</w:t>
      </w:r>
      <w:r w:rsidR="00EA0752" w:rsidRPr="0050721B">
        <w:rPr>
          <w:color w:val="0D0D0D" w:themeColor="text1" w:themeTint="F2"/>
          <w:lang w:val="it-IT"/>
        </w:rPr>
        <w:t xml:space="preserve">ve utilitare dhe jo vetëm si më </w:t>
      </w:r>
      <w:r w:rsidR="00413EDB" w:rsidRPr="0050721B">
        <w:rPr>
          <w:color w:val="0D0D0D" w:themeColor="text1" w:themeTint="F2"/>
          <w:lang w:val="it-IT"/>
        </w:rPr>
        <w:t>poshtë</w:t>
      </w:r>
      <w:r w:rsidR="00EA0752" w:rsidRPr="0050721B">
        <w:rPr>
          <w:color w:val="0D0D0D" w:themeColor="text1" w:themeTint="F2"/>
          <w:lang w:val="it-IT"/>
        </w:rPr>
        <w:t xml:space="preserve"> vijon: </w:t>
      </w:r>
      <w:r w:rsidR="00413EDB" w:rsidRPr="0050721B">
        <w:rPr>
          <w:color w:val="0D0D0D" w:themeColor="text1" w:themeTint="F2"/>
          <w:lang w:val="it-IT"/>
        </w:rPr>
        <w:t xml:space="preserve"> </w:t>
      </w:r>
    </w:p>
    <w:p w:rsidR="00413EDB" w:rsidRPr="0050721B" w:rsidRDefault="00413EDB" w:rsidP="0050721B">
      <w:pPr>
        <w:pStyle w:val="ListParagraph"/>
        <w:widowControl w:val="0"/>
        <w:spacing w:after="0"/>
        <w:ind w:left="426"/>
        <w:contextualSpacing w:val="0"/>
        <w:jc w:val="both"/>
        <w:rPr>
          <w:rFonts w:ascii="Times New Roman" w:hAnsi="Times New Roman"/>
          <w:b/>
          <w:bCs/>
          <w:color w:val="0D0D0D" w:themeColor="text1" w:themeTint="F2"/>
          <w:sz w:val="24"/>
          <w:szCs w:val="24"/>
        </w:rPr>
      </w:pPr>
    </w:p>
    <w:p w:rsidR="00413EDB" w:rsidRPr="0050721B" w:rsidRDefault="00413EDB" w:rsidP="00D3657C">
      <w:pPr>
        <w:numPr>
          <w:ilvl w:val="1"/>
          <w:numId w:val="1"/>
        </w:numPr>
        <w:tabs>
          <w:tab w:val="clear" w:pos="786"/>
          <w:tab w:val="num" w:pos="1134"/>
        </w:tabs>
        <w:spacing w:line="276" w:lineRule="auto"/>
        <w:ind w:left="1440"/>
        <w:jc w:val="both"/>
        <w:rPr>
          <w:color w:val="0D0D0D" w:themeColor="text1" w:themeTint="F2"/>
          <w:lang w:val="it-IT"/>
        </w:rPr>
      </w:pPr>
      <w:r w:rsidRPr="0050721B">
        <w:rPr>
          <w:color w:val="0D0D0D" w:themeColor="text1" w:themeTint="F2"/>
          <w:lang w:val="it-IT"/>
        </w:rPr>
        <w:t xml:space="preserve">Shlyerjen e detyrimeve </w:t>
      </w:r>
      <w:r w:rsidRPr="0050721B">
        <w:rPr>
          <w:rFonts w:eastAsia="Batang"/>
          <w:color w:val="0D0D0D" w:themeColor="text1" w:themeTint="F2"/>
          <w:lang w:val="it-IT"/>
        </w:rPr>
        <w:t>ndaj shtetit, si detyrime energji elektrike, ujë, shërbime bankare, postare e telefonike</w:t>
      </w:r>
      <w:r w:rsidR="00EA0752" w:rsidRPr="0050721B">
        <w:rPr>
          <w:rFonts w:eastAsia="Batang"/>
          <w:color w:val="0D0D0D" w:themeColor="text1" w:themeTint="F2"/>
          <w:lang w:val="it-IT"/>
        </w:rPr>
        <w:t xml:space="preserve"> etj</w:t>
      </w:r>
      <w:r w:rsidR="00020723" w:rsidRPr="0050721B">
        <w:rPr>
          <w:rFonts w:eastAsia="Batang"/>
          <w:color w:val="0D0D0D" w:themeColor="text1" w:themeTint="F2"/>
          <w:lang w:val="it-IT"/>
        </w:rPr>
        <w:t xml:space="preserve">; </w:t>
      </w:r>
    </w:p>
    <w:p w:rsidR="00413EDB" w:rsidRPr="0050721B" w:rsidRDefault="00413EDB" w:rsidP="0050721B">
      <w:pPr>
        <w:numPr>
          <w:ilvl w:val="1"/>
          <w:numId w:val="1"/>
        </w:numPr>
        <w:tabs>
          <w:tab w:val="clear" w:pos="786"/>
          <w:tab w:val="num" w:pos="1440"/>
        </w:tabs>
        <w:spacing w:line="276" w:lineRule="auto"/>
        <w:ind w:left="1440"/>
        <w:jc w:val="both"/>
        <w:rPr>
          <w:color w:val="0D0D0D" w:themeColor="text1" w:themeTint="F2"/>
        </w:rPr>
      </w:pPr>
      <w:r w:rsidRPr="0050721B">
        <w:rPr>
          <w:rFonts w:eastAsia="Batang"/>
          <w:color w:val="0D0D0D" w:themeColor="text1" w:themeTint="F2"/>
        </w:rPr>
        <w:t xml:space="preserve">Shpenzime në funksion të </w:t>
      </w:r>
      <w:r w:rsidR="00EA0752" w:rsidRPr="0050721B">
        <w:rPr>
          <w:rFonts w:eastAsia="Batang"/>
          <w:color w:val="0D0D0D" w:themeColor="text1" w:themeTint="F2"/>
        </w:rPr>
        <w:t xml:space="preserve">mbarëvajtjes </w:t>
      </w:r>
      <w:r w:rsidRPr="0050721B">
        <w:rPr>
          <w:color w:val="0D0D0D" w:themeColor="text1" w:themeTint="F2"/>
        </w:rPr>
        <w:t>institucionale, si shërbimi i ruajtjes me kamera të ambje</w:t>
      </w:r>
      <w:r w:rsidR="00020723" w:rsidRPr="0050721B">
        <w:rPr>
          <w:color w:val="0D0D0D" w:themeColor="text1" w:themeTint="F2"/>
        </w:rPr>
        <w:t>n</w:t>
      </w:r>
      <w:r w:rsidRPr="0050721B">
        <w:rPr>
          <w:color w:val="0D0D0D" w:themeColor="text1" w:themeTint="F2"/>
        </w:rPr>
        <w:t>teve të institucionit</w:t>
      </w:r>
      <w:r w:rsidR="00020723" w:rsidRPr="0050721B">
        <w:rPr>
          <w:color w:val="0D0D0D" w:themeColor="text1" w:themeTint="F2"/>
        </w:rPr>
        <w:t>, mirëmbajtje mjete transporti, sigurim godine e mjete</w:t>
      </w:r>
      <w:r w:rsidR="00F844DC" w:rsidRPr="0050721B">
        <w:rPr>
          <w:color w:val="0D0D0D" w:themeColor="text1" w:themeTint="F2"/>
        </w:rPr>
        <w:t xml:space="preserve"> transporti</w:t>
      </w:r>
      <w:r w:rsidR="00020723" w:rsidRPr="0050721B">
        <w:rPr>
          <w:color w:val="0D0D0D" w:themeColor="text1" w:themeTint="F2"/>
        </w:rPr>
        <w:t xml:space="preserve">, </w:t>
      </w:r>
      <w:r w:rsidR="00F844DC" w:rsidRPr="0050721B">
        <w:rPr>
          <w:color w:val="0D0D0D" w:themeColor="text1" w:themeTint="F2"/>
        </w:rPr>
        <w:t xml:space="preserve">shpenzime </w:t>
      </w:r>
      <w:r w:rsidR="00020723" w:rsidRPr="0050721B">
        <w:rPr>
          <w:color w:val="0D0D0D" w:themeColor="text1" w:themeTint="F2"/>
        </w:rPr>
        <w:t>admin</w:t>
      </w:r>
      <w:r w:rsidR="00F844DC" w:rsidRPr="0050721B">
        <w:rPr>
          <w:color w:val="0D0D0D" w:themeColor="text1" w:themeTint="F2"/>
        </w:rPr>
        <w:t>i</w:t>
      </w:r>
      <w:r w:rsidR="00020723" w:rsidRPr="0050721B">
        <w:rPr>
          <w:color w:val="0D0D0D" w:themeColor="text1" w:themeTint="F2"/>
        </w:rPr>
        <w:t>strative të ndryshme rutinore</w:t>
      </w:r>
      <w:r w:rsidR="00F844DC" w:rsidRPr="0050721B">
        <w:rPr>
          <w:color w:val="0D0D0D" w:themeColor="text1" w:themeTint="F2"/>
        </w:rPr>
        <w:t xml:space="preserve"> në funksion të veprimtarisë</w:t>
      </w:r>
      <w:r w:rsidR="00020723" w:rsidRPr="0050721B">
        <w:rPr>
          <w:color w:val="0D0D0D" w:themeColor="text1" w:themeTint="F2"/>
        </w:rPr>
        <w:t xml:space="preserve">; </w:t>
      </w:r>
      <w:r w:rsidR="00EA0752" w:rsidRPr="0050721B">
        <w:rPr>
          <w:color w:val="0D0D0D" w:themeColor="text1" w:themeTint="F2"/>
        </w:rPr>
        <w:t xml:space="preserve"> </w:t>
      </w:r>
      <w:r w:rsidRPr="0050721B">
        <w:rPr>
          <w:color w:val="0D0D0D" w:themeColor="text1" w:themeTint="F2"/>
        </w:rPr>
        <w:t xml:space="preserve"> </w:t>
      </w:r>
    </w:p>
    <w:p w:rsidR="00413EDB" w:rsidRPr="0050721B" w:rsidRDefault="00413EDB" w:rsidP="0050721B">
      <w:pPr>
        <w:numPr>
          <w:ilvl w:val="1"/>
          <w:numId w:val="1"/>
        </w:numPr>
        <w:tabs>
          <w:tab w:val="clear" w:pos="786"/>
          <w:tab w:val="num" w:pos="1440"/>
        </w:tabs>
        <w:spacing w:line="276" w:lineRule="auto"/>
        <w:ind w:left="1440"/>
        <w:jc w:val="both"/>
        <w:rPr>
          <w:color w:val="0D0D0D" w:themeColor="text1" w:themeTint="F2"/>
        </w:rPr>
      </w:pPr>
      <w:r w:rsidRPr="0050721B">
        <w:rPr>
          <w:color w:val="0D0D0D" w:themeColor="text1" w:themeTint="F2"/>
        </w:rPr>
        <w:t xml:space="preserve">Shpenzime </w:t>
      </w:r>
      <w:r w:rsidR="00020723" w:rsidRPr="0050721B">
        <w:rPr>
          <w:rFonts w:eastAsia="Calibri"/>
        </w:rPr>
        <w:t xml:space="preserve">të </w:t>
      </w:r>
      <w:r w:rsidRPr="0050721B">
        <w:rPr>
          <w:rFonts w:eastAsia="Calibri"/>
        </w:rPr>
        <w:t>mbulimi</w:t>
      </w:r>
      <w:r w:rsidR="00020723" w:rsidRPr="0050721B">
        <w:rPr>
          <w:rFonts w:eastAsia="Calibri"/>
        </w:rPr>
        <w:t>t</w:t>
      </w:r>
      <w:r w:rsidRPr="0050721B">
        <w:rPr>
          <w:rFonts w:eastAsia="Calibri"/>
        </w:rPr>
        <w:t xml:space="preserve"> financiar të aktiviteteve brenda apo </w:t>
      </w:r>
      <w:r w:rsidR="00D3657C">
        <w:t xml:space="preserve">jashtë vendit </w:t>
      </w:r>
      <w:r w:rsidRPr="0050721B">
        <w:t xml:space="preserve">të planifikuara. </w:t>
      </w:r>
    </w:p>
    <w:p w:rsidR="00413EDB" w:rsidRPr="0050721B" w:rsidRDefault="00413EDB" w:rsidP="0050721B">
      <w:pPr>
        <w:numPr>
          <w:ilvl w:val="1"/>
          <w:numId w:val="1"/>
        </w:numPr>
        <w:tabs>
          <w:tab w:val="clear" w:pos="786"/>
          <w:tab w:val="num" w:pos="1440"/>
        </w:tabs>
        <w:spacing w:line="276" w:lineRule="auto"/>
        <w:ind w:left="1440"/>
        <w:jc w:val="both"/>
        <w:rPr>
          <w:color w:val="0D0D0D" w:themeColor="text1" w:themeTint="F2"/>
        </w:rPr>
      </w:pPr>
      <w:r w:rsidRPr="0050721B">
        <w:rPr>
          <w:color w:val="0D0D0D" w:themeColor="text1" w:themeTint="F2"/>
        </w:rPr>
        <w:t>Shp</w:t>
      </w:r>
      <w:r w:rsidR="00EA0752" w:rsidRPr="0050721B">
        <w:rPr>
          <w:color w:val="0D0D0D" w:themeColor="text1" w:themeTint="F2"/>
        </w:rPr>
        <w:t>enzime për mirëmbajtje</w:t>
      </w:r>
      <w:r w:rsidR="00F844DC" w:rsidRPr="0050721B">
        <w:rPr>
          <w:color w:val="0D0D0D" w:themeColor="text1" w:themeTint="F2"/>
        </w:rPr>
        <w:t>n</w:t>
      </w:r>
      <w:r w:rsidR="00EA0752" w:rsidRPr="0050721B">
        <w:rPr>
          <w:color w:val="0D0D0D" w:themeColor="text1" w:themeTint="F2"/>
        </w:rPr>
        <w:t xml:space="preserve"> </w:t>
      </w:r>
      <w:r w:rsidR="00F844DC" w:rsidRPr="0050721B">
        <w:rPr>
          <w:color w:val="0D0D0D" w:themeColor="text1" w:themeTint="F2"/>
        </w:rPr>
        <w:t>e</w:t>
      </w:r>
      <w:r w:rsidR="00EA0752" w:rsidRPr="0050721B">
        <w:rPr>
          <w:color w:val="0D0D0D" w:themeColor="text1" w:themeTint="F2"/>
        </w:rPr>
        <w:t xml:space="preserve"> sistemeve/</w:t>
      </w:r>
      <w:r w:rsidRPr="0050721B">
        <w:rPr>
          <w:color w:val="0D0D0D" w:themeColor="text1" w:themeTint="F2"/>
        </w:rPr>
        <w:t>platformave t</w:t>
      </w:r>
      <w:r w:rsidR="00B85D2E" w:rsidRPr="0050721B">
        <w:rPr>
          <w:color w:val="0D0D0D" w:themeColor="text1" w:themeTint="F2"/>
        </w:rPr>
        <w:t xml:space="preserve">ë </w:t>
      </w:r>
      <w:r w:rsidR="00D3657C">
        <w:rPr>
          <w:color w:val="0D0D0D" w:themeColor="text1" w:themeTint="F2"/>
        </w:rPr>
        <w:t xml:space="preserve">instaluara softwere, </w:t>
      </w:r>
      <w:r w:rsidRPr="0050721B">
        <w:rPr>
          <w:color w:val="0D0D0D" w:themeColor="text1" w:themeTint="F2"/>
        </w:rPr>
        <w:t xml:space="preserve">databazës </w:t>
      </w:r>
      <w:r w:rsidR="00D3657C">
        <w:rPr>
          <w:color w:val="0D0D0D" w:themeColor="text1" w:themeTint="F2"/>
        </w:rPr>
        <w:t xml:space="preserve">shtetërore të regjistrit të </w:t>
      </w:r>
      <w:r w:rsidRPr="0050721B">
        <w:rPr>
          <w:color w:val="0D0D0D" w:themeColor="text1" w:themeTint="F2"/>
        </w:rPr>
        <w:t xml:space="preserve">kërkesave dhe përgjigjeve </w:t>
      </w:r>
      <w:r w:rsidR="00B85D2E" w:rsidRPr="0050721B">
        <w:rPr>
          <w:color w:val="0D0D0D" w:themeColor="text1" w:themeTint="F2"/>
        </w:rPr>
        <w:t xml:space="preserve">implementimit të infrastruturës së qendërzuar </w:t>
      </w:r>
      <w:r w:rsidR="00020723" w:rsidRPr="0050721B">
        <w:rPr>
          <w:color w:val="0D0D0D" w:themeColor="text1" w:themeTint="F2"/>
        </w:rPr>
        <w:t xml:space="preserve">dhe të tjera të kontraktuara </w:t>
      </w:r>
      <w:r w:rsidR="00D3657C">
        <w:rPr>
          <w:color w:val="0D0D0D" w:themeColor="text1" w:themeTint="F2"/>
        </w:rPr>
        <w:t>gjatë vitit,</w:t>
      </w:r>
      <w:r w:rsidR="00F844DC" w:rsidRPr="0050721B">
        <w:rPr>
          <w:color w:val="0D0D0D" w:themeColor="text1" w:themeTint="F2"/>
        </w:rPr>
        <w:t xml:space="preserve"> por edhe angazhime nga viti 2024 </w:t>
      </w:r>
    </w:p>
    <w:p w:rsidR="00413EDB" w:rsidRPr="0050721B" w:rsidRDefault="00413EDB" w:rsidP="0050721B">
      <w:pPr>
        <w:spacing w:line="276" w:lineRule="auto"/>
        <w:jc w:val="both"/>
        <w:rPr>
          <w:color w:val="0D0D0D" w:themeColor="text1" w:themeTint="F2"/>
        </w:rPr>
      </w:pPr>
    </w:p>
    <w:p w:rsidR="00413EDB" w:rsidRPr="0050721B" w:rsidRDefault="00413EDB" w:rsidP="0050721B">
      <w:pPr>
        <w:spacing w:line="276" w:lineRule="auto"/>
        <w:jc w:val="both"/>
        <w:rPr>
          <w:rFonts w:eastAsia="Batang"/>
          <w:color w:val="1D1B11" w:themeColor="background2" w:themeShade="1A"/>
          <w:lang w:val="sv-SE"/>
        </w:rPr>
      </w:pPr>
      <w:r w:rsidRPr="0050721B">
        <w:rPr>
          <w:rFonts w:eastAsia="Batang"/>
          <w:color w:val="1D1B11" w:themeColor="background2" w:themeShade="1A"/>
          <w:lang w:val="sv-SE"/>
        </w:rPr>
        <w:t xml:space="preserve">Gjatë kësaj periudhe raportimi janë zhvilluar </w:t>
      </w:r>
      <w:r w:rsidR="00020723" w:rsidRPr="0050721B">
        <w:rPr>
          <w:rFonts w:eastAsia="Batang"/>
          <w:color w:val="1D1B11" w:themeColor="background2" w:themeShade="1A"/>
          <w:lang w:val="sv-SE"/>
        </w:rPr>
        <w:t xml:space="preserve">mbi </w:t>
      </w:r>
      <w:r w:rsidR="00C07165" w:rsidRPr="00C07165">
        <w:rPr>
          <w:rFonts w:eastAsia="Batang"/>
          <w:color w:val="0D0D0D" w:themeColor="text1" w:themeTint="F2"/>
          <w:lang w:val="sv-SE"/>
        </w:rPr>
        <w:t>20</w:t>
      </w:r>
      <w:r w:rsidR="00020723" w:rsidRPr="00C07165">
        <w:rPr>
          <w:rFonts w:eastAsia="Batang"/>
          <w:color w:val="0D0D0D" w:themeColor="text1" w:themeTint="F2"/>
          <w:lang w:val="sv-SE"/>
        </w:rPr>
        <w:t xml:space="preserve"> </w:t>
      </w:r>
      <w:r w:rsidRPr="00C07165">
        <w:rPr>
          <w:rFonts w:eastAsia="Batang"/>
          <w:color w:val="0D0D0D" w:themeColor="text1" w:themeTint="F2"/>
          <w:lang w:val="sv-SE"/>
        </w:rPr>
        <w:t>p</w:t>
      </w:r>
      <w:r w:rsidRPr="0050721B">
        <w:rPr>
          <w:rFonts w:eastAsia="Batang"/>
          <w:color w:val="1D1B11" w:themeColor="background2" w:themeShade="1A"/>
          <w:lang w:val="sv-SE"/>
        </w:rPr>
        <w:t>rocedura prokurimi</w:t>
      </w:r>
      <w:r w:rsidR="00D3657C">
        <w:rPr>
          <w:rFonts w:eastAsia="Batang"/>
          <w:color w:val="1D1B11" w:themeColor="background2" w:themeShade="1A"/>
          <w:lang w:val="sv-SE"/>
        </w:rPr>
        <w:t>,</w:t>
      </w:r>
      <w:r w:rsidRPr="0050721B">
        <w:rPr>
          <w:rFonts w:eastAsia="Batang"/>
          <w:color w:val="1D1B11" w:themeColor="background2" w:themeShade="1A"/>
          <w:lang w:val="sv-SE"/>
        </w:rPr>
        <w:t xml:space="preserve"> të gjitha të sukseshme me fitues dhe plotësim kërkesash. </w:t>
      </w:r>
      <w:r w:rsidR="00020723" w:rsidRPr="0050721B">
        <w:rPr>
          <w:rFonts w:eastAsia="Batang"/>
          <w:color w:val="1D1B11" w:themeColor="background2" w:themeShade="1A"/>
          <w:lang w:val="sv-SE"/>
        </w:rPr>
        <w:t>Sipas kushteve të kontratave të</w:t>
      </w:r>
      <w:r w:rsidR="00D3657C">
        <w:rPr>
          <w:rFonts w:eastAsia="Batang"/>
          <w:color w:val="1D1B11" w:themeColor="background2" w:themeShade="1A"/>
          <w:lang w:val="sv-SE"/>
        </w:rPr>
        <w:t xml:space="preserve"> lidhura me furnitorë/shërbime,</w:t>
      </w:r>
      <w:r w:rsidRPr="0050721B">
        <w:rPr>
          <w:rFonts w:eastAsia="Batang"/>
          <w:color w:val="1D1B11" w:themeColor="background2" w:themeShade="1A"/>
          <w:lang w:val="sv-SE"/>
        </w:rPr>
        <w:t xml:space="preserve"> </w:t>
      </w:r>
      <w:r w:rsidR="00D3657C">
        <w:rPr>
          <w:rFonts w:eastAsia="Batang"/>
          <w:color w:val="1D1B11" w:themeColor="background2" w:themeShade="1A"/>
          <w:lang w:val="sv-SE"/>
        </w:rPr>
        <w:t>pagesat janë</w:t>
      </w:r>
      <w:r w:rsidR="00020723" w:rsidRPr="0050721B">
        <w:rPr>
          <w:rFonts w:eastAsia="Batang"/>
          <w:color w:val="1D1B11" w:themeColor="background2" w:themeShade="1A"/>
          <w:lang w:val="sv-SE"/>
        </w:rPr>
        <w:t xml:space="preserve"> në vijim dhe efektet financiare </w:t>
      </w:r>
      <w:r w:rsidRPr="0050721B">
        <w:rPr>
          <w:rFonts w:eastAsia="Batang"/>
          <w:color w:val="1D1B11" w:themeColor="background2" w:themeShade="1A"/>
          <w:lang w:val="sv-SE"/>
        </w:rPr>
        <w:t>do të reflektohen në muajt në vijim</w:t>
      </w:r>
      <w:r w:rsidR="00020723" w:rsidRPr="0050721B">
        <w:rPr>
          <w:rFonts w:eastAsia="Batang"/>
          <w:color w:val="1D1B11" w:themeColor="background2" w:themeShade="1A"/>
          <w:lang w:val="sv-SE"/>
        </w:rPr>
        <w:t xml:space="preserve">. </w:t>
      </w:r>
    </w:p>
    <w:p w:rsidR="00413EDB" w:rsidRPr="0050721B" w:rsidRDefault="00B85D2E" w:rsidP="0050721B">
      <w:pPr>
        <w:spacing w:line="276" w:lineRule="auto"/>
        <w:jc w:val="both"/>
        <w:rPr>
          <w:color w:val="0D0D0D" w:themeColor="text1" w:themeTint="F2"/>
        </w:rPr>
      </w:pPr>
      <w:r w:rsidRPr="0050721B">
        <w:rPr>
          <w:rFonts w:eastAsia="Batang"/>
          <w:color w:val="1D1B11" w:themeColor="background2" w:themeShade="1A"/>
          <w:lang w:val="sv-SE"/>
        </w:rPr>
        <w:t xml:space="preserve"> </w:t>
      </w:r>
      <w:r w:rsidR="00413EDB" w:rsidRPr="0050721B">
        <w:rPr>
          <w:rFonts w:eastAsia="Batang"/>
          <w:color w:val="1D1B11" w:themeColor="background2" w:themeShade="1A"/>
          <w:lang w:val="sv-SE"/>
        </w:rPr>
        <w:t xml:space="preserve"> </w:t>
      </w:r>
    </w:p>
    <w:p w:rsidR="00CB7A54" w:rsidRPr="0050721B" w:rsidRDefault="00413EDB" w:rsidP="0050721B">
      <w:pPr>
        <w:pStyle w:val="ListParagraph"/>
        <w:numPr>
          <w:ilvl w:val="0"/>
          <w:numId w:val="31"/>
        </w:numPr>
        <w:jc w:val="both"/>
        <w:rPr>
          <w:rFonts w:ascii="Times New Roman" w:hAnsi="Times New Roman"/>
          <w:color w:val="0D0D0D" w:themeColor="text1" w:themeTint="F2"/>
          <w:sz w:val="24"/>
          <w:szCs w:val="24"/>
        </w:rPr>
      </w:pPr>
      <w:r w:rsidRPr="0050721B">
        <w:rPr>
          <w:rFonts w:ascii="Times New Roman" w:eastAsia="Batang" w:hAnsi="Times New Roman"/>
          <w:b/>
          <w:bCs/>
          <w:sz w:val="24"/>
          <w:szCs w:val="24"/>
        </w:rPr>
        <w:t xml:space="preserve">Fondi për shpenzime </w:t>
      </w:r>
      <w:r w:rsidR="007459DB" w:rsidRPr="0050721B">
        <w:rPr>
          <w:rFonts w:ascii="Times New Roman" w:eastAsia="Batang" w:hAnsi="Times New Roman"/>
          <w:b/>
          <w:bCs/>
          <w:sz w:val="24"/>
          <w:szCs w:val="24"/>
        </w:rPr>
        <w:t xml:space="preserve">Kapitale </w:t>
      </w:r>
      <w:r w:rsidRPr="0050721B">
        <w:rPr>
          <w:rFonts w:ascii="Times New Roman" w:eastAsia="Batang" w:hAnsi="Times New Roman"/>
          <w:b/>
          <w:sz w:val="24"/>
          <w:szCs w:val="24"/>
        </w:rPr>
        <w:t xml:space="preserve">(zëri 231), </w:t>
      </w:r>
      <w:r w:rsidR="00D3657C">
        <w:rPr>
          <w:rFonts w:ascii="Times New Roman" w:eastAsia="Batang" w:hAnsi="Times New Roman"/>
          <w:sz w:val="24"/>
          <w:szCs w:val="24"/>
        </w:rPr>
        <w:t xml:space="preserve">për </w:t>
      </w:r>
      <w:r w:rsidR="00020723" w:rsidRPr="0050721B">
        <w:rPr>
          <w:rFonts w:ascii="Times New Roman" w:eastAsia="Batang" w:hAnsi="Times New Roman"/>
          <w:sz w:val="24"/>
          <w:szCs w:val="24"/>
        </w:rPr>
        <w:t xml:space="preserve">periudhën e raportimit mbetet i papërdorur, duke arsyetuar situatën e ecurisë së shpenzimeve të </w:t>
      </w:r>
      <w:r w:rsidR="00CB7A54" w:rsidRPr="0050721B">
        <w:rPr>
          <w:rFonts w:ascii="Times New Roman" w:eastAsia="Batang" w:hAnsi="Times New Roman"/>
          <w:sz w:val="24"/>
          <w:szCs w:val="24"/>
        </w:rPr>
        <w:t>kësaj kategorie/grupi</w:t>
      </w:r>
      <w:r w:rsidR="00020723" w:rsidRPr="0050721B">
        <w:rPr>
          <w:rFonts w:ascii="Times New Roman" w:eastAsia="Batang" w:hAnsi="Times New Roman"/>
          <w:sz w:val="24"/>
          <w:szCs w:val="24"/>
        </w:rPr>
        <w:t xml:space="preserve">  </w:t>
      </w:r>
    </w:p>
    <w:p w:rsidR="00CB565A" w:rsidRPr="00E76D5D" w:rsidRDefault="00CB7A54" w:rsidP="0050721B">
      <w:pPr>
        <w:spacing w:line="276" w:lineRule="auto"/>
        <w:jc w:val="both"/>
        <w:rPr>
          <w:color w:val="0D0D0D" w:themeColor="text1" w:themeTint="F2"/>
        </w:rPr>
      </w:pPr>
      <w:r w:rsidRPr="0050721B">
        <w:rPr>
          <w:color w:val="0D0D0D" w:themeColor="text1" w:themeTint="F2"/>
        </w:rPr>
        <w:t>M</w:t>
      </w:r>
      <w:r w:rsidR="00413EDB" w:rsidRPr="0050721B">
        <w:rPr>
          <w:color w:val="0D0D0D" w:themeColor="text1" w:themeTint="F2"/>
        </w:rPr>
        <w:t>e ligjin nr. 115/202</w:t>
      </w:r>
      <w:r w:rsidR="00F844DC" w:rsidRPr="0050721B">
        <w:rPr>
          <w:color w:val="0D0D0D" w:themeColor="text1" w:themeTint="F2"/>
        </w:rPr>
        <w:t>4</w:t>
      </w:r>
      <w:r w:rsidR="00413EDB" w:rsidRPr="0050721B">
        <w:rPr>
          <w:color w:val="0D0D0D" w:themeColor="text1" w:themeTint="F2"/>
        </w:rPr>
        <w:t xml:space="preserve"> “Për Buxhetin e vitit 2025”, Zyrës së Komisionerit për të drejtën e Informimit dhe Mbrojtjen e të dhënave personale</w:t>
      </w:r>
      <w:r w:rsidRPr="0050721B">
        <w:rPr>
          <w:color w:val="0D0D0D" w:themeColor="text1" w:themeTint="F2"/>
        </w:rPr>
        <w:t xml:space="preserve">, </w:t>
      </w:r>
      <w:r w:rsidR="00413EDB" w:rsidRPr="0050721B">
        <w:rPr>
          <w:color w:val="0D0D0D" w:themeColor="text1" w:themeTint="F2"/>
        </w:rPr>
        <w:t xml:space="preserve">i </w:t>
      </w:r>
      <w:r w:rsidRPr="0050721B">
        <w:rPr>
          <w:color w:val="0D0D0D" w:themeColor="text1" w:themeTint="F2"/>
        </w:rPr>
        <w:t>janë</w:t>
      </w:r>
      <w:r w:rsidR="00413EDB" w:rsidRPr="0050721B">
        <w:rPr>
          <w:color w:val="0D0D0D" w:themeColor="text1" w:themeTint="F2"/>
        </w:rPr>
        <w:t xml:space="preserve"> </w:t>
      </w:r>
      <w:r w:rsidR="00D3657C">
        <w:rPr>
          <w:color w:val="0D0D0D" w:themeColor="text1" w:themeTint="F2"/>
        </w:rPr>
        <w:t>akorduar</w:t>
      </w:r>
      <w:r w:rsidR="00413EDB" w:rsidRPr="0050721B">
        <w:rPr>
          <w:color w:val="0D0D0D" w:themeColor="text1" w:themeTint="F2"/>
        </w:rPr>
        <w:t xml:space="preserve"> fond</w:t>
      </w:r>
      <w:r w:rsidRPr="0050721B">
        <w:rPr>
          <w:color w:val="0D0D0D" w:themeColor="text1" w:themeTint="F2"/>
        </w:rPr>
        <w:t xml:space="preserve">et e </w:t>
      </w:r>
      <w:r w:rsidR="00413EDB" w:rsidRPr="0050721B">
        <w:rPr>
          <w:color w:val="0D0D0D" w:themeColor="text1" w:themeTint="F2"/>
        </w:rPr>
        <w:t xml:space="preserve">investimeve </w:t>
      </w:r>
      <w:r w:rsidR="00F844DC" w:rsidRPr="0050721B">
        <w:rPr>
          <w:color w:val="0D0D0D" w:themeColor="text1" w:themeTint="F2"/>
        </w:rPr>
        <w:t>sipas projekteve:</w:t>
      </w:r>
    </w:p>
    <w:p w:rsidR="00413EDB" w:rsidRPr="0050721B" w:rsidRDefault="00F844DC" w:rsidP="0050721B">
      <w:pPr>
        <w:pStyle w:val="ListParagraph"/>
        <w:numPr>
          <w:ilvl w:val="0"/>
          <w:numId w:val="12"/>
        </w:numPr>
        <w:jc w:val="both"/>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P</w:t>
      </w:r>
      <w:r w:rsidR="00413EDB" w:rsidRPr="0050721B">
        <w:rPr>
          <w:rFonts w:ascii="Times New Roman" w:hAnsi="Times New Roman"/>
          <w:color w:val="0D0D0D" w:themeColor="text1" w:themeTint="F2"/>
          <w:sz w:val="24"/>
          <w:szCs w:val="24"/>
        </w:rPr>
        <w:t>rojekti</w:t>
      </w:r>
      <w:r w:rsidRPr="0050721B">
        <w:rPr>
          <w:rFonts w:ascii="Times New Roman" w:hAnsi="Times New Roman"/>
          <w:color w:val="0D0D0D" w:themeColor="text1" w:themeTint="F2"/>
          <w:sz w:val="24"/>
          <w:szCs w:val="24"/>
        </w:rPr>
        <w:t xml:space="preserve"> nën emertesën “Blerje pajisje zyre/ Kompjuterike/ele</w:t>
      </w:r>
      <w:r w:rsidR="00D3657C">
        <w:rPr>
          <w:rFonts w:ascii="Times New Roman" w:hAnsi="Times New Roman"/>
          <w:color w:val="0D0D0D" w:themeColor="text1" w:themeTint="F2"/>
          <w:sz w:val="24"/>
          <w:szCs w:val="24"/>
        </w:rPr>
        <w:t xml:space="preserve">ktronike/vegla e instrumente”, </w:t>
      </w:r>
      <w:r w:rsidR="00CB7A54" w:rsidRPr="0050721B">
        <w:rPr>
          <w:rFonts w:ascii="Times New Roman" w:hAnsi="Times New Roman"/>
          <w:color w:val="0D0D0D" w:themeColor="text1" w:themeTint="F2"/>
          <w:sz w:val="24"/>
          <w:szCs w:val="24"/>
        </w:rPr>
        <w:t xml:space="preserve">me kod </w:t>
      </w:r>
      <w:r w:rsidR="00244377" w:rsidRPr="0050721B">
        <w:rPr>
          <w:rFonts w:ascii="Times New Roman" w:hAnsi="Times New Roman"/>
          <w:color w:val="0D0D0D" w:themeColor="text1" w:themeTint="F2"/>
          <w:sz w:val="24"/>
          <w:szCs w:val="24"/>
        </w:rPr>
        <w:t xml:space="preserve">Produkti </w:t>
      </w:r>
      <w:r w:rsidR="00413EDB" w:rsidRPr="0050721B">
        <w:rPr>
          <w:rFonts w:ascii="Times New Roman" w:hAnsi="Times New Roman"/>
          <w:b/>
          <w:color w:val="0D0D0D" w:themeColor="text1" w:themeTint="F2"/>
          <w:sz w:val="24"/>
          <w:szCs w:val="24"/>
        </w:rPr>
        <w:t>18 AD 102</w:t>
      </w:r>
      <w:r w:rsidR="00CB7A54" w:rsidRPr="0050721B">
        <w:rPr>
          <w:rFonts w:ascii="Times New Roman" w:hAnsi="Times New Roman"/>
          <w:color w:val="0D0D0D" w:themeColor="text1" w:themeTint="F2"/>
          <w:sz w:val="24"/>
          <w:szCs w:val="24"/>
        </w:rPr>
        <w:t xml:space="preserve">, </w:t>
      </w:r>
      <w:r w:rsidR="00413EDB" w:rsidRPr="0050721B">
        <w:rPr>
          <w:rFonts w:ascii="Times New Roman" w:hAnsi="Times New Roman"/>
          <w:color w:val="0D0D0D" w:themeColor="text1" w:themeTint="F2"/>
          <w:sz w:val="24"/>
          <w:szCs w:val="24"/>
        </w:rPr>
        <w:t xml:space="preserve">në vlerën </w:t>
      </w:r>
      <w:r w:rsidR="00413EDB" w:rsidRPr="0050721B">
        <w:rPr>
          <w:rFonts w:ascii="Times New Roman" w:hAnsi="Times New Roman"/>
          <w:b/>
          <w:color w:val="0D0D0D" w:themeColor="text1" w:themeTint="F2"/>
          <w:sz w:val="24"/>
          <w:szCs w:val="24"/>
        </w:rPr>
        <w:t>1.000.000 lekë</w:t>
      </w:r>
      <w:r w:rsidR="00B85D2E" w:rsidRPr="0050721B">
        <w:rPr>
          <w:rFonts w:ascii="Times New Roman" w:hAnsi="Times New Roman"/>
          <w:color w:val="0D0D0D" w:themeColor="text1" w:themeTint="F2"/>
          <w:sz w:val="24"/>
          <w:szCs w:val="24"/>
        </w:rPr>
        <w:t xml:space="preserve"> </w:t>
      </w:r>
    </w:p>
    <w:p w:rsidR="001C2EE3" w:rsidRPr="00A213D5" w:rsidRDefault="00F844DC" w:rsidP="0050721B">
      <w:pPr>
        <w:pStyle w:val="ListParagraph"/>
        <w:numPr>
          <w:ilvl w:val="0"/>
          <w:numId w:val="12"/>
        </w:numPr>
        <w:jc w:val="both"/>
        <w:rPr>
          <w:rFonts w:ascii="Times New Roman" w:hAnsi="Times New Roman"/>
          <w:b/>
          <w:color w:val="0D0D0D" w:themeColor="text1" w:themeTint="F2"/>
          <w:sz w:val="24"/>
          <w:szCs w:val="24"/>
        </w:rPr>
      </w:pPr>
      <w:r w:rsidRPr="0050721B">
        <w:rPr>
          <w:rFonts w:ascii="Times New Roman" w:hAnsi="Times New Roman"/>
          <w:color w:val="0D0D0D" w:themeColor="text1" w:themeTint="F2"/>
          <w:sz w:val="24"/>
          <w:szCs w:val="24"/>
        </w:rPr>
        <w:lastRenderedPageBreak/>
        <w:t>P</w:t>
      </w:r>
      <w:r w:rsidR="00CB7A54" w:rsidRPr="0050721B">
        <w:rPr>
          <w:rFonts w:ascii="Times New Roman" w:hAnsi="Times New Roman"/>
          <w:color w:val="0D0D0D" w:themeColor="text1" w:themeTint="F2"/>
          <w:sz w:val="24"/>
          <w:szCs w:val="24"/>
        </w:rPr>
        <w:t>rojektin</w:t>
      </w:r>
      <w:r w:rsidR="00B85D2E" w:rsidRPr="0050721B">
        <w:rPr>
          <w:rFonts w:ascii="Times New Roman" w:hAnsi="Times New Roman"/>
          <w:color w:val="0D0D0D" w:themeColor="text1" w:themeTint="F2"/>
          <w:sz w:val="24"/>
          <w:szCs w:val="24"/>
        </w:rPr>
        <w:t xml:space="preserve"> </w:t>
      </w:r>
      <w:r w:rsidR="00D3657C">
        <w:rPr>
          <w:rFonts w:ascii="Times New Roman" w:hAnsi="Times New Roman"/>
          <w:color w:val="0D0D0D" w:themeColor="text1" w:themeTint="F2"/>
          <w:sz w:val="24"/>
          <w:szCs w:val="24"/>
        </w:rPr>
        <w:t xml:space="preserve">nën </w:t>
      </w:r>
      <w:r w:rsidRPr="0050721B">
        <w:rPr>
          <w:rFonts w:ascii="Times New Roman" w:hAnsi="Times New Roman"/>
          <w:color w:val="0D0D0D" w:themeColor="text1" w:themeTint="F2"/>
          <w:sz w:val="24"/>
          <w:szCs w:val="24"/>
        </w:rPr>
        <w:t>emertesën “Dixhitalizimi i</w:t>
      </w:r>
      <w:r w:rsidR="00D3657C">
        <w:rPr>
          <w:rFonts w:ascii="Times New Roman" w:hAnsi="Times New Roman"/>
          <w:color w:val="0D0D0D" w:themeColor="text1" w:themeTint="F2"/>
          <w:sz w:val="24"/>
          <w:szCs w:val="24"/>
        </w:rPr>
        <w:t xml:space="preserve"> Programeve të Transparencës”, </w:t>
      </w:r>
      <w:r w:rsidR="00CB7A54" w:rsidRPr="0050721B">
        <w:rPr>
          <w:rFonts w:ascii="Times New Roman" w:hAnsi="Times New Roman"/>
          <w:color w:val="0D0D0D" w:themeColor="text1" w:themeTint="F2"/>
          <w:sz w:val="24"/>
          <w:szCs w:val="24"/>
        </w:rPr>
        <w:t xml:space="preserve">me kod </w:t>
      </w:r>
      <w:r w:rsidR="00244377" w:rsidRPr="0050721B">
        <w:rPr>
          <w:rFonts w:ascii="Times New Roman" w:hAnsi="Times New Roman"/>
          <w:color w:val="0D0D0D" w:themeColor="text1" w:themeTint="F2"/>
          <w:sz w:val="24"/>
          <w:szCs w:val="24"/>
        </w:rPr>
        <w:t xml:space="preserve">produkti </w:t>
      </w:r>
      <w:r w:rsidR="00B85D2E" w:rsidRPr="0050721B">
        <w:rPr>
          <w:rFonts w:ascii="Times New Roman" w:hAnsi="Times New Roman"/>
          <w:b/>
          <w:color w:val="0D0D0D" w:themeColor="text1" w:themeTint="F2"/>
          <w:sz w:val="24"/>
          <w:szCs w:val="24"/>
        </w:rPr>
        <w:t>M89000</w:t>
      </w:r>
      <w:r w:rsidRPr="0050721B">
        <w:rPr>
          <w:rFonts w:ascii="Times New Roman" w:hAnsi="Times New Roman"/>
          <w:b/>
          <w:color w:val="0D0D0D" w:themeColor="text1" w:themeTint="F2"/>
          <w:sz w:val="24"/>
          <w:szCs w:val="24"/>
        </w:rPr>
        <w:t>5</w:t>
      </w:r>
      <w:r w:rsidR="00CB7A54" w:rsidRPr="0050721B">
        <w:rPr>
          <w:rFonts w:ascii="Times New Roman" w:hAnsi="Times New Roman"/>
          <w:color w:val="0D0D0D" w:themeColor="text1" w:themeTint="F2"/>
          <w:sz w:val="24"/>
          <w:szCs w:val="24"/>
        </w:rPr>
        <w:t xml:space="preserve">, </w:t>
      </w:r>
      <w:r w:rsidR="00B85D2E" w:rsidRPr="0050721B">
        <w:rPr>
          <w:rFonts w:ascii="Times New Roman" w:hAnsi="Times New Roman"/>
          <w:color w:val="0D0D0D" w:themeColor="text1" w:themeTint="F2"/>
          <w:sz w:val="24"/>
          <w:szCs w:val="24"/>
        </w:rPr>
        <w:t xml:space="preserve">në vlerën </w:t>
      </w:r>
      <w:r w:rsidR="00B85D2E" w:rsidRPr="0050721B">
        <w:rPr>
          <w:rFonts w:ascii="Times New Roman" w:hAnsi="Times New Roman"/>
          <w:b/>
          <w:color w:val="0D0D0D" w:themeColor="text1" w:themeTint="F2"/>
          <w:sz w:val="24"/>
          <w:szCs w:val="24"/>
        </w:rPr>
        <w:t>8.000.000 lekë</w:t>
      </w:r>
      <w:r w:rsidRPr="0050721B">
        <w:rPr>
          <w:rFonts w:ascii="Times New Roman" w:hAnsi="Times New Roman"/>
          <w:b/>
          <w:color w:val="0D0D0D" w:themeColor="text1" w:themeTint="F2"/>
          <w:sz w:val="24"/>
          <w:szCs w:val="24"/>
        </w:rPr>
        <w:t xml:space="preserve"> (Fond i Ngrirë) </w:t>
      </w:r>
      <w:r w:rsidR="001C2EE3" w:rsidRPr="00A213D5">
        <w:rPr>
          <w:rFonts w:ascii="Times New Roman" w:hAnsi="Times New Roman"/>
          <w:color w:val="0D0D0D" w:themeColor="text1" w:themeTint="F2"/>
          <w:sz w:val="24"/>
          <w:szCs w:val="24"/>
          <w:lang w:val="it-IT"/>
        </w:rPr>
        <w:t xml:space="preserve"> </w:t>
      </w:r>
    </w:p>
    <w:p w:rsidR="00CB565A" w:rsidRPr="0050721B" w:rsidRDefault="00CB565A" w:rsidP="0050721B">
      <w:pPr>
        <w:spacing w:line="276" w:lineRule="auto"/>
        <w:jc w:val="both"/>
        <w:rPr>
          <w:bCs/>
        </w:rPr>
      </w:pPr>
      <w:r w:rsidRPr="0050721B">
        <w:rPr>
          <w:bCs/>
        </w:rPr>
        <w:t>Me shkresën nr. 9326/1, dat</w:t>
      </w:r>
      <w:r w:rsidR="001C2EE3" w:rsidRPr="0050721B">
        <w:rPr>
          <w:bCs/>
        </w:rPr>
        <w:t>ë</w:t>
      </w:r>
      <w:r w:rsidR="00D3657C">
        <w:rPr>
          <w:bCs/>
        </w:rPr>
        <w:t xml:space="preserve"> 29.07.2025, të Ministrisë së</w:t>
      </w:r>
      <w:r w:rsidRPr="0050721B">
        <w:rPr>
          <w:bCs/>
        </w:rPr>
        <w:t xml:space="preserve"> Financave, protokolluar me tonën nr.1781/1, datë 31.07.2025 “Mbi zbatimin e Aktit Normativ Nr.6, date 11.06.2025”, është miratuar </w:t>
      </w:r>
      <w:r w:rsidR="001C2EE3" w:rsidRPr="0050721B">
        <w:rPr>
          <w:bCs/>
        </w:rPr>
        <w:t xml:space="preserve">shtesa e fondeve </w:t>
      </w:r>
      <w:r w:rsidRPr="0050721B">
        <w:rPr>
          <w:bCs/>
        </w:rPr>
        <w:t xml:space="preserve">për investime </w:t>
      </w:r>
      <w:r w:rsidR="001C2EE3" w:rsidRPr="0050721B">
        <w:rPr>
          <w:bCs/>
        </w:rPr>
        <w:t>d</w:t>
      </w:r>
      <w:r w:rsidR="00D3657C">
        <w:rPr>
          <w:bCs/>
        </w:rPr>
        <w:t xml:space="preserve">he ridetajimi e </w:t>
      </w:r>
      <w:r w:rsidR="001C2EE3" w:rsidRPr="0050721B">
        <w:rPr>
          <w:bCs/>
        </w:rPr>
        <w:t xml:space="preserve">aktivizimi i tyre </w:t>
      </w:r>
      <w:r w:rsidRPr="0050721B">
        <w:rPr>
          <w:bCs/>
        </w:rPr>
        <w:t xml:space="preserve">në dy projekte </w:t>
      </w:r>
      <w:r w:rsidR="001C2EE3" w:rsidRPr="0050721B">
        <w:rPr>
          <w:bCs/>
        </w:rPr>
        <w:t xml:space="preserve">me vlerat konkrete </w:t>
      </w:r>
      <w:r w:rsidRPr="0050721B">
        <w:rPr>
          <w:bCs/>
        </w:rPr>
        <w:t>:</w:t>
      </w:r>
    </w:p>
    <w:p w:rsidR="001C2EE3" w:rsidRPr="0050721B" w:rsidRDefault="001C2EE3" w:rsidP="0050721B">
      <w:pPr>
        <w:spacing w:line="276" w:lineRule="auto"/>
        <w:jc w:val="both"/>
        <w:rPr>
          <w:bCs/>
        </w:rPr>
      </w:pPr>
    </w:p>
    <w:p w:rsidR="001C2EE3" w:rsidRPr="00B41105" w:rsidRDefault="001C2EE3" w:rsidP="0050721B">
      <w:pPr>
        <w:pStyle w:val="ListParagraph"/>
        <w:numPr>
          <w:ilvl w:val="0"/>
          <w:numId w:val="43"/>
        </w:numPr>
        <w:jc w:val="both"/>
        <w:rPr>
          <w:rFonts w:ascii="Times New Roman" w:hAnsi="Times New Roman"/>
          <w:b/>
          <w:bCs/>
          <w:sz w:val="24"/>
          <w:szCs w:val="24"/>
        </w:rPr>
      </w:pPr>
      <w:r w:rsidRPr="0050721B">
        <w:rPr>
          <w:rFonts w:ascii="Times New Roman" w:hAnsi="Times New Roman"/>
          <w:bCs/>
          <w:sz w:val="24"/>
          <w:szCs w:val="24"/>
          <w:lang w:val="en-US"/>
        </w:rPr>
        <w:t>Projekti 18 AD 102 “</w:t>
      </w:r>
      <w:proofErr w:type="spellStart"/>
      <w:r w:rsidRPr="0050721B">
        <w:rPr>
          <w:rFonts w:ascii="Times New Roman" w:hAnsi="Times New Roman"/>
          <w:bCs/>
          <w:sz w:val="24"/>
          <w:szCs w:val="24"/>
          <w:lang w:val="en-US"/>
        </w:rPr>
        <w:t>Blerje</w:t>
      </w:r>
      <w:proofErr w:type="spellEnd"/>
      <w:r w:rsidRPr="0050721B">
        <w:rPr>
          <w:rFonts w:ascii="Times New Roman" w:hAnsi="Times New Roman"/>
          <w:bCs/>
          <w:sz w:val="24"/>
          <w:szCs w:val="24"/>
          <w:lang w:val="en-US"/>
        </w:rPr>
        <w:t xml:space="preserve"> </w:t>
      </w:r>
      <w:proofErr w:type="spellStart"/>
      <w:r w:rsidRPr="0050721B">
        <w:rPr>
          <w:rFonts w:ascii="Times New Roman" w:hAnsi="Times New Roman"/>
          <w:bCs/>
          <w:sz w:val="24"/>
          <w:szCs w:val="24"/>
          <w:lang w:val="en-US"/>
        </w:rPr>
        <w:t>pajisje</w:t>
      </w:r>
      <w:proofErr w:type="spellEnd"/>
      <w:r w:rsidRPr="0050721B">
        <w:rPr>
          <w:rFonts w:ascii="Times New Roman" w:hAnsi="Times New Roman"/>
          <w:bCs/>
          <w:sz w:val="24"/>
          <w:szCs w:val="24"/>
          <w:lang w:val="en-US"/>
        </w:rPr>
        <w:t xml:space="preserve"> </w:t>
      </w:r>
      <w:proofErr w:type="spellStart"/>
      <w:r w:rsidRPr="0050721B">
        <w:rPr>
          <w:rFonts w:ascii="Times New Roman" w:hAnsi="Times New Roman"/>
          <w:bCs/>
          <w:sz w:val="24"/>
          <w:szCs w:val="24"/>
          <w:lang w:val="en-US"/>
        </w:rPr>
        <w:t>zyre</w:t>
      </w:r>
      <w:proofErr w:type="spellEnd"/>
      <w:r w:rsidRPr="0050721B">
        <w:rPr>
          <w:rFonts w:ascii="Times New Roman" w:hAnsi="Times New Roman"/>
          <w:bCs/>
          <w:sz w:val="24"/>
          <w:szCs w:val="24"/>
          <w:lang w:val="en-US"/>
        </w:rPr>
        <w:t>/</w:t>
      </w:r>
      <w:proofErr w:type="spellStart"/>
      <w:r w:rsidRPr="0050721B">
        <w:rPr>
          <w:rFonts w:ascii="Times New Roman" w:hAnsi="Times New Roman"/>
          <w:bCs/>
          <w:sz w:val="24"/>
          <w:szCs w:val="24"/>
          <w:lang w:val="en-US"/>
        </w:rPr>
        <w:t>kompjuterike</w:t>
      </w:r>
      <w:proofErr w:type="spellEnd"/>
      <w:r w:rsidRPr="0050721B">
        <w:rPr>
          <w:rFonts w:ascii="Times New Roman" w:hAnsi="Times New Roman"/>
          <w:bCs/>
          <w:sz w:val="24"/>
          <w:szCs w:val="24"/>
          <w:lang w:val="en-US"/>
        </w:rPr>
        <w:t>/</w:t>
      </w:r>
      <w:proofErr w:type="spellStart"/>
      <w:r w:rsidRPr="0050721B">
        <w:rPr>
          <w:rFonts w:ascii="Times New Roman" w:hAnsi="Times New Roman"/>
          <w:bCs/>
          <w:sz w:val="24"/>
          <w:szCs w:val="24"/>
          <w:lang w:val="en-US"/>
        </w:rPr>
        <w:t>el</w:t>
      </w:r>
      <w:r w:rsidR="00D3657C">
        <w:rPr>
          <w:rFonts w:ascii="Times New Roman" w:hAnsi="Times New Roman"/>
          <w:bCs/>
          <w:sz w:val="24"/>
          <w:szCs w:val="24"/>
          <w:lang w:val="en-US"/>
        </w:rPr>
        <w:t>ektronike</w:t>
      </w:r>
      <w:proofErr w:type="spellEnd"/>
      <w:r w:rsidR="00D3657C">
        <w:rPr>
          <w:rFonts w:ascii="Times New Roman" w:hAnsi="Times New Roman"/>
          <w:bCs/>
          <w:sz w:val="24"/>
          <w:szCs w:val="24"/>
          <w:lang w:val="en-US"/>
        </w:rPr>
        <w:t>/</w:t>
      </w:r>
      <w:proofErr w:type="spellStart"/>
      <w:r w:rsidR="00D3657C">
        <w:rPr>
          <w:rFonts w:ascii="Times New Roman" w:hAnsi="Times New Roman"/>
          <w:bCs/>
          <w:sz w:val="24"/>
          <w:szCs w:val="24"/>
          <w:lang w:val="en-US"/>
        </w:rPr>
        <w:t>vegla</w:t>
      </w:r>
      <w:proofErr w:type="spellEnd"/>
      <w:r w:rsidR="00D3657C">
        <w:rPr>
          <w:rFonts w:ascii="Times New Roman" w:hAnsi="Times New Roman"/>
          <w:bCs/>
          <w:sz w:val="24"/>
          <w:szCs w:val="24"/>
          <w:lang w:val="en-US"/>
        </w:rPr>
        <w:t xml:space="preserve"> e </w:t>
      </w:r>
      <w:proofErr w:type="spellStart"/>
      <w:r w:rsidR="00D3657C">
        <w:rPr>
          <w:rFonts w:ascii="Times New Roman" w:hAnsi="Times New Roman"/>
          <w:bCs/>
          <w:sz w:val="24"/>
          <w:szCs w:val="24"/>
          <w:lang w:val="en-US"/>
        </w:rPr>
        <w:t>pajisje</w:t>
      </w:r>
      <w:proofErr w:type="spellEnd"/>
      <w:r w:rsidR="00D3657C">
        <w:rPr>
          <w:rFonts w:ascii="Times New Roman" w:hAnsi="Times New Roman"/>
          <w:bCs/>
          <w:sz w:val="24"/>
          <w:szCs w:val="24"/>
          <w:lang w:val="en-US"/>
        </w:rPr>
        <w:t xml:space="preserve">”, </w:t>
      </w:r>
      <w:proofErr w:type="spellStart"/>
      <w:r w:rsidR="00D3657C">
        <w:rPr>
          <w:rFonts w:ascii="Times New Roman" w:hAnsi="Times New Roman"/>
          <w:bCs/>
          <w:sz w:val="24"/>
          <w:szCs w:val="24"/>
          <w:lang w:val="en-US"/>
        </w:rPr>
        <w:t>në</w:t>
      </w:r>
      <w:proofErr w:type="spellEnd"/>
      <w:r w:rsidR="00D3657C">
        <w:rPr>
          <w:rFonts w:ascii="Times New Roman" w:hAnsi="Times New Roman"/>
          <w:bCs/>
          <w:sz w:val="24"/>
          <w:szCs w:val="24"/>
          <w:lang w:val="en-US"/>
        </w:rPr>
        <w:t xml:space="preserve"> </w:t>
      </w:r>
      <w:proofErr w:type="spellStart"/>
      <w:r w:rsidRPr="0050721B">
        <w:rPr>
          <w:rFonts w:ascii="Times New Roman" w:hAnsi="Times New Roman"/>
          <w:bCs/>
          <w:sz w:val="24"/>
          <w:szCs w:val="24"/>
          <w:lang w:val="en-US"/>
        </w:rPr>
        <w:t>vlerën</w:t>
      </w:r>
      <w:proofErr w:type="spellEnd"/>
      <w:r w:rsidRPr="0050721B">
        <w:rPr>
          <w:rFonts w:ascii="Times New Roman" w:hAnsi="Times New Roman"/>
          <w:bCs/>
          <w:sz w:val="24"/>
          <w:szCs w:val="24"/>
          <w:lang w:val="en-US"/>
        </w:rPr>
        <w:t xml:space="preserve"> </w:t>
      </w:r>
      <w:r w:rsidRPr="00B41105">
        <w:rPr>
          <w:rFonts w:ascii="Times New Roman" w:hAnsi="Times New Roman"/>
          <w:b/>
          <w:bCs/>
          <w:sz w:val="24"/>
          <w:szCs w:val="24"/>
          <w:lang w:val="en-US"/>
        </w:rPr>
        <w:t xml:space="preserve">5.000.000 </w:t>
      </w:r>
      <w:proofErr w:type="spellStart"/>
      <w:r w:rsidRPr="00B41105">
        <w:rPr>
          <w:rFonts w:ascii="Times New Roman" w:hAnsi="Times New Roman"/>
          <w:b/>
          <w:bCs/>
          <w:sz w:val="24"/>
          <w:szCs w:val="24"/>
          <w:lang w:val="en-US"/>
        </w:rPr>
        <w:t>lekë</w:t>
      </w:r>
      <w:proofErr w:type="spellEnd"/>
      <w:r w:rsidRPr="00B41105">
        <w:rPr>
          <w:rFonts w:ascii="Times New Roman" w:hAnsi="Times New Roman"/>
          <w:b/>
          <w:bCs/>
          <w:sz w:val="24"/>
          <w:szCs w:val="24"/>
          <w:lang w:val="en-US"/>
        </w:rPr>
        <w:t xml:space="preserve"> </w:t>
      </w:r>
    </w:p>
    <w:p w:rsidR="001C2EE3" w:rsidRPr="00B41105" w:rsidRDefault="001C2EE3" w:rsidP="0050721B">
      <w:pPr>
        <w:pStyle w:val="ListParagraph"/>
        <w:numPr>
          <w:ilvl w:val="0"/>
          <w:numId w:val="43"/>
        </w:numPr>
        <w:jc w:val="both"/>
        <w:rPr>
          <w:rFonts w:ascii="Times New Roman" w:hAnsi="Times New Roman"/>
          <w:b/>
          <w:bCs/>
          <w:sz w:val="24"/>
          <w:szCs w:val="24"/>
        </w:rPr>
      </w:pPr>
      <w:r w:rsidRPr="0050721B">
        <w:rPr>
          <w:rFonts w:ascii="Times New Roman" w:hAnsi="Times New Roman"/>
          <w:bCs/>
          <w:sz w:val="24"/>
          <w:szCs w:val="24"/>
          <w:lang w:val="en-US"/>
        </w:rPr>
        <w:t xml:space="preserve">Projekti 25AC501, “Dixhitalizimi i Programeve të Transparencës”, në vlerën </w:t>
      </w:r>
      <w:r w:rsidRPr="00B41105">
        <w:rPr>
          <w:rFonts w:ascii="Times New Roman" w:hAnsi="Times New Roman"/>
          <w:b/>
          <w:bCs/>
          <w:sz w:val="24"/>
          <w:szCs w:val="24"/>
          <w:lang w:val="en-US"/>
        </w:rPr>
        <w:t>8.000.000 lekë</w:t>
      </w:r>
    </w:p>
    <w:p w:rsidR="00413EDB" w:rsidRPr="0050721B" w:rsidRDefault="00A204CC" w:rsidP="0050721B">
      <w:pPr>
        <w:spacing w:line="276" w:lineRule="auto"/>
        <w:jc w:val="both"/>
        <w:rPr>
          <w:color w:val="0D0D0D" w:themeColor="text1" w:themeTint="F2"/>
          <w:lang w:val="it-IT"/>
        </w:rPr>
      </w:pPr>
      <w:r w:rsidRPr="0050721B">
        <w:rPr>
          <w:color w:val="0D0D0D" w:themeColor="text1" w:themeTint="F2"/>
          <w:lang w:val="it-IT"/>
        </w:rPr>
        <w:t>P</w:t>
      </w:r>
      <w:r w:rsidR="00D3657C">
        <w:rPr>
          <w:color w:val="0D0D0D" w:themeColor="text1" w:themeTint="F2"/>
          <w:lang w:val="it-IT"/>
        </w:rPr>
        <w:t xml:space="preserve">ër ecurinë e </w:t>
      </w:r>
      <w:r w:rsidRPr="0050721B">
        <w:rPr>
          <w:color w:val="0D0D0D" w:themeColor="text1" w:themeTint="F2"/>
          <w:lang w:val="it-IT"/>
        </w:rPr>
        <w:t xml:space="preserve">shpenzimeve kapitale </w:t>
      </w:r>
      <w:r w:rsidR="001C2EE3" w:rsidRPr="0050721B">
        <w:rPr>
          <w:color w:val="0D0D0D" w:themeColor="text1" w:themeTint="F2"/>
          <w:lang w:val="it-IT"/>
        </w:rPr>
        <w:t xml:space="preserve">informojmë se kanë nisur procedurat paraprake              (shtator 2025) </w:t>
      </w:r>
      <w:r w:rsidR="00B41105">
        <w:rPr>
          <w:color w:val="0D0D0D" w:themeColor="text1" w:themeTint="F2"/>
          <w:lang w:val="it-IT"/>
        </w:rPr>
        <w:t>për projektin e parë</w:t>
      </w:r>
      <w:r w:rsidR="00C03EE9" w:rsidRPr="0050721B">
        <w:rPr>
          <w:color w:val="0D0D0D" w:themeColor="text1" w:themeTint="F2"/>
          <w:lang w:val="it-IT"/>
        </w:rPr>
        <w:t>, ndërkohë që po përgatitet dokumentacioni edhe p</w:t>
      </w:r>
      <w:r w:rsidR="00B41105">
        <w:rPr>
          <w:color w:val="0D0D0D" w:themeColor="text1" w:themeTint="F2"/>
          <w:lang w:val="it-IT"/>
        </w:rPr>
        <w:t>ë</w:t>
      </w:r>
      <w:r w:rsidR="00C03EE9" w:rsidRPr="0050721B">
        <w:rPr>
          <w:color w:val="0D0D0D" w:themeColor="text1" w:themeTint="F2"/>
          <w:lang w:val="it-IT"/>
        </w:rPr>
        <w:t>r projektin e dy</w:t>
      </w:r>
      <w:r w:rsidR="00B41105">
        <w:rPr>
          <w:color w:val="0D0D0D" w:themeColor="text1" w:themeTint="F2"/>
          <w:lang w:val="it-IT"/>
        </w:rPr>
        <w:t>t</w:t>
      </w:r>
      <w:r w:rsidR="00D3657C">
        <w:rPr>
          <w:color w:val="0D0D0D" w:themeColor="text1" w:themeTint="F2"/>
          <w:lang w:val="it-IT"/>
        </w:rPr>
        <w:t>ë,</w:t>
      </w:r>
      <w:r w:rsidR="00C03EE9" w:rsidRPr="0050721B">
        <w:rPr>
          <w:color w:val="0D0D0D" w:themeColor="text1" w:themeTint="F2"/>
          <w:lang w:val="it-IT"/>
        </w:rPr>
        <w:t xml:space="preserve"> d</w:t>
      </w:r>
      <w:r w:rsidRPr="0050721B">
        <w:rPr>
          <w:color w:val="0D0D0D" w:themeColor="text1" w:themeTint="F2"/>
          <w:lang w:val="it-IT"/>
        </w:rPr>
        <w:t xml:space="preserve">uke shpresuar në </w:t>
      </w:r>
      <w:r w:rsidR="00C03EE9" w:rsidRPr="0050721B">
        <w:rPr>
          <w:color w:val="0D0D0D" w:themeColor="text1" w:themeTint="F2"/>
          <w:lang w:val="it-IT"/>
        </w:rPr>
        <w:t>finaliz</w:t>
      </w:r>
      <w:r w:rsidR="00D3657C">
        <w:rPr>
          <w:color w:val="0D0D0D" w:themeColor="text1" w:themeTint="F2"/>
          <w:lang w:val="it-IT"/>
        </w:rPr>
        <w:t>imin</w:t>
      </w:r>
      <w:r w:rsidR="00B41105">
        <w:rPr>
          <w:color w:val="0D0D0D" w:themeColor="text1" w:themeTint="F2"/>
          <w:lang w:val="it-IT"/>
        </w:rPr>
        <w:t xml:space="preserve"> e tyre brenda afateve të </w:t>
      </w:r>
      <w:r w:rsidR="00C03EE9" w:rsidRPr="0050721B">
        <w:rPr>
          <w:color w:val="0D0D0D" w:themeColor="text1" w:themeTint="F2"/>
          <w:lang w:val="it-IT"/>
        </w:rPr>
        <w:t xml:space="preserve">vitit ushtrimor </w:t>
      </w:r>
      <w:r w:rsidR="00A77959" w:rsidRPr="0050721B">
        <w:rPr>
          <w:color w:val="222222"/>
        </w:rPr>
        <w:t xml:space="preserve"> </w:t>
      </w:r>
      <w:r w:rsidR="00D3657C">
        <w:rPr>
          <w:color w:val="222222"/>
        </w:rPr>
        <w:t xml:space="preserve">e për rrjedhojë edhe të </w:t>
      </w:r>
      <w:r w:rsidR="00C03EE9" w:rsidRPr="0050721B">
        <w:rPr>
          <w:color w:val="222222"/>
        </w:rPr>
        <w:t xml:space="preserve">detyrimeve kontraktuale financiare. </w:t>
      </w:r>
    </w:p>
    <w:p w:rsidR="000B78A2" w:rsidRPr="0050721B" w:rsidRDefault="00B63AC7" w:rsidP="0050721B">
      <w:pPr>
        <w:spacing w:after="160" w:line="276" w:lineRule="auto"/>
        <w:contextualSpacing/>
        <w:jc w:val="both"/>
        <w:rPr>
          <w:lang w:val="de-DE" w:eastAsia="de-DE"/>
        </w:rPr>
      </w:pPr>
      <w:r w:rsidRPr="0050721B">
        <w:rPr>
          <w:lang w:val="de-DE" w:eastAsia="de-DE"/>
        </w:rPr>
        <w:t xml:space="preserve"> </w:t>
      </w:r>
    </w:p>
    <w:p w:rsidR="007459DB" w:rsidRPr="0050721B" w:rsidRDefault="003B3367" w:rsidP="0050721B">
      <w:pPr>
        <w:autoSpaceDE w:val="0"/>
        <w:autoSpaceDN w:val="0"/>
        <w:adjustRightInd w:val="0"/>
        <w:spacing w:line="276" w:lineRule="auto"/>
        <w:jc w:val="both"/>
        <w:rPr>
          <w:b/>
        </w:rPr>
      </w:pPr>
      <w:r w:rsidRPr="0050721B">
        <w:rPr>
          <w:b/>
        </w:rPr>
        <w:t xml:space="preserve">IV. </w:t>
      </w:r>
      <w:r w:rsidR="007459DB" w:rsidRPr="0050721B">
        <w:rPr>
          <w:b/>
        </w:rPr>
        <w:t>Performanca jo financiare e programit buxhetor</w:t>
      </w:r>
      <w:r w:rsidR="00DA44C4" w:rsidRPr="0050721B">
        <w:rPr>
          <w:b/>
        </w:rPr>
        <w:t xml:space="preserve">, sipas treguesve dhe produkteve </w:t>
      </w:r>
      <w:r w:rsidR="007459DB" w:rsidRPr="0050721B">
        <w:rPr>
          <w:b/>
        </w:rPr>
        <w:t xml:space="preserve"> </w:t>
      </w:r>
    </w:p>
    <w:p w:rsidR="00A333B7" w:rsidRPr="0050721B" w:rsidRDefault="00A333B7" w:rsidP="0050721B">
      <w:pPr>
        <w:pStyle w:val="BodyText"/>
        <w:spacing w:after="0" w:line="276" w:lineRule="auto"/>
        <w:jc w:val="both"/>
        <w:rPr>
          <w:color w:val="0D0D0D" w:themeColor="text1" w:themeTint="F2"/>
        </w:rPr>
      </w:pPr>
    </w:p>
    <w:p w:rsidR="00986A71" w:rsidRPr="0050721B" w:rsidRDefault="00986A71" w:rsidP="0050721B">
      <w:pPr>
        <w:pStyle w:val="BodyText"/>
        <w:spacing w:after="0" w:line="276" w:lineRule="auto"/>
        <w:jc w:val="both"/>
        <w:rPr>
          <w:color w:val="0D0D0D" w:themeColor="text1" w:themeTint="F2"/>
        </w:rPr>
      </w:pPr>
      <w:r w:rsidRPr="0050721B">
        <w:rPr>
          <w:b/>
          <w:color w:val="0D0D0D" w:themeColor="text1" w:themeTint="F2"/>
        </w:rPr>
        <w:t>IV.1</w:t>
      </w:r>
      <w:r w:rsidRPr="0050721B">
        <w:rPr>
          <w:color w:val="0D0D0D" w:themeColor="text1" w:themeTint="F2"/>
        </w:rPr>
        <w:t xml:space="preserve"> Performanca e produkteve të programit </w:t>
      </w:r>
    </w:p>
    <w:p w:rsidR="00986A71" w:rsidRPr="0050721B" w:rsidRDefault="00986A71" w:rsidP="0050721B">
      <w:pPr>
        <w:pStyle w:val="BodyText"/>
        <w:spacing w:after="0" w:line="276" w:lineRule="auto"/>
        <w:jc w:val="both"/>
        <w:rPr>
          <w:color w:val="0D0D0D" w:themeColor="text1" w:themeTint="F2"/>
        </w:rPr>
      </w:pPr>
    </w:p>
    <w:p w:rsidR="008233D2" w:rsidRPr="0050721B" w:rsidRDefault="008233D2" w:rsidP="00D3657C">
      <w:pPr>
        <w:pStyle w:val="BodyText"/>
        <w:spacing w:after="0" w:line="276" w:lineRule="auto"/>
        <w:jc w:val="both"/>
        <w:rPr>
          <w:color w:val="0D0D0D" w:themeColor="text1" w:themeTint="F2"/>
        </w:rPr>
      </w:pPr>
      <w:r w:rsidRPr="0050721B">
        <w:rPr>
          <w:b/>
          <w:color w:val="0D0D0D" w:themeColor="text1" w:themeTint="F2"/>
        </w:rPr>
        <w:t>Produkti i Programit 0110, në shpenzime operative është</w:t>
      </w:r>
      <w:r w:rsidR="00A77959" w:rsidRPr="0050721B">
        <w:rPr>
          <w:color w:val="0D0D0D" w:themeColor="text1" w:themeTint="F2"/>
        </w:rPr>
        <w:t>:</w:t>
      </w:r>
      <w:r w:rsidRPr="0050721B">
        <w:rPr>
          <w:color w:val="0D0D0D" w:themeColor="text1" w:themeTint="F2"/>
        </w:rPr>
        <w:t xml:space="preserve"> </w:t>
      </w:r>
      <w:r w:rsidRPr="0050721B">
        <w:rPr>
          <w:b/>
          <w:i/>
          <w:color w:val="0D0D0D" w:themeColor="text1" w:themeTint="F2"/>
        </w:rPr>
        <w:t>Mbikëqyrje/inspektime të kryera &amp; ankesa të trajtuara,</w:t>
      </w:r>
      <w:r w:rsidR="00A77959" w:rsidRPr="0050721B">
        <w:rPr>
          <w:color w:val="0D0D0D" w:themeColor="text1" w:themeTint="F2"/>
        </w:rPr>
        <w:t xml:space="preserve"> ku parashikimi është </w:t>
      </w:r>
      <w:r w:rsidRPr="0050721B">
        <w:rPr>
          <w:b/>
          <w:color w:val="0D0D0D" w:themeColor="text1" w:themeTint="F2"/>
        </w:rPr>
        <w:t xml:space="preserve">nr. </w:t>
      </w:r>
      <w:r w:rsidR="00A71770" w:rsidRPr="0050721B">
        <w:rPr>
          <w:b/>
          <w:color w:val="0D0D0D" w:themeColor="text1" w:themeTint="F2"/>
        </w:rPr>
        <w:t>2000</w:t>
      </w:r>
      <w:r w:rsidR="00244377" w:rsidRPr="0050721B">
        <w:rPr>
          <w:b/>
          <w:color w:val="0D0D0D" w:themeColor="text1" w:themeTint="F2"/>
        </w:rPr>
        <w:t xml:space="preserve">, </w:t>
      </w:r>
      <w:r w:rsidRPr="0050721B">
        <w:rPr>
          <w:color w:val="0D0D0D" w:themeColor="text1" w:themeTint="F2"/>
        </w:rPr>
        <w:t xml:space="preserve">veprime </w:t>
      </w:r>
      <w:r w:rsidR="00961B6C" w:rsidRPr="0050721B">
        <w:rPr>
          <w:color w:val="0D0D0D" w:themeColor="text1" w:themeTint="F2"/>
        </w:rPr>
        <w:t xml:space="preserve">në total të ndara në nënprodukte   </w:t>
      </w:r>
    </w:p>
    <w:p w:rsidR="00DB519C" w:rsidRPr="0050721B" w:rsidRDefault="00DB519C" w:rsidP="0050721B">
      <w:pPr>
        <w:pStyle w:val="BodyText"/>
        <w:spacing w:after="0" w:line="276" w:lineRule="auto"/>
        <w:jc w:val="both"/>
        <w:rPr>
          <w:color w:val="0D0D0D" w:themeColor="text1" w:themeTint="F2"/>
        </w:rPr>
      </w:pPr>
    </w:p>
    <w:p w:rsidR="008233D2" w:rsidRPr="0050721B" w:rsidRDefault="008233D2" w:rsidP="0050721B">
      <w:pPr>
        <w:pStyle w:val="BodyText"/>
        <w:numPr>
          <w:ilvl w:val="0"/>
          <w:numId w:val="33"/>
        </w:numPr>
        <w:spacing w:after="0" w:line="276" w:lineRule="auto"/>
        <w:jc w:val="both"/>
        <w:rPr>
          <w:b/>
        </w:rPr>
      </w:pPr>
      <w:r w:rsidRPr="0050721B">
        <w:rPr>
          <w:b/>
        </w:rPr>
        <w:t xml:space="preserve">E drejta e informimit : </w:t>
      </w:r>
    </w:p>
    <w:p w:rsidR="008233D2" w:rsidRPr="0050721B" w:rsidRDefault="008233D2" w:rsidP="0050721B">
      <w:pPr>
        <w:pStyle w:val="BodyText"/>
        <w:spacing w:after="0" w:line="276" w:lineRule="auto"/>
        <w:jc w:val="both"/>
      </w:pPr>
    </w:p>
    <w:p w:rsidR="008233D2" w:rsidRPr="0050721B" w:rsidRDefault="008233D2" w:rsidP="0050721B">
      <w:pPr>
        <w:pStyle w:val="ListParagraph"/>
        <w:numPr>
          <w:ilvl w:val="0"/>
          <w:numId w:val="2"/>
        </w:numPr>
        <w:jc w:val="both"/>
        <w:rPr>
          <w:rFonts w:ascii="Times New Roman" w:hAnsi="Times New Roman"/>
          <w:b/>
          <w:sz w:val="24"/>
          <w:szCs w:val="24"/>
        </w:rPr>
      </w:pPr>
      <w:r w:rsidRPr="0050721B">
        <w:rPr>
          <w:rFonts w:ascii="Times New Roman" w:hAnsi="Times New Roman"/>
          <w:b/>
          <w:sz w:val="24"/>
          <w:szCs w:val="24"/>
        </w:rPr>
        <w:t>Autoritetet Publike me programe dhe transparencë të plotë</w:t>
      </w:r>
    </w:p>
    <w:p w:rsidR="008233D2" w:rsidRPr="0050721B" w:rsidRDefault="008233D2" w:rsidP="0050721B">
      <w:pPr>
        <w:spacing w:line="276" w:lineRule="auto"/>
        <w:jc w:val="both"/>
        <w:rPr>
          <w:rFonts w:eastAsia="Calibri"/>
        </w:rPr>
      </w:pPr>
      <w:r w:rsidRPr="0050721B">
        <w:t>Sigurimi i Transparencës së veprimtarisë së Autoriteteve Publike, nëpërmjet realizimit të proceseve të monitorimit/mbikëqyrjes së elementëve të ndryshëm të zbatimit të ligjit për të drejtën e informimit, të autoriteteve publike</w:t>
      </w:r>
      <w:r w:rsidR="00DB519C" w:rsidRPr="0050721B">
        <w:rPr>
          <w:rFonts w:eastAsia="Calibri"/>
        </w:rPr>
        <w:t xml:space="preserve"> etj  </w:t>
      </w:r>
    </w:p>
    <w:p w:rsidR="008233D2" w:rsidRPr="0050721B" w:rsidRDefault="008233D2" w:rsidP="0050721B">
      <w:pPr>
        <w:pStyle w:val="ListParagraph"/>
        <w:numPr>
          <w:ilvl w:val="0"/>
          <w:numId w:val="2"/>
        </w:numPr>
        <w:spacing w:after="160"/>
        <w:jc w:val="both"/>
        <w:rPr>
          <w:rFonts w:ascii="Times New Roman" w:hAnsi="Times New Roman"/>
          <w:sz w:val="24"/>
          <w:szCs w:val="24"/>
        </w:rPr>
      </w:pPr>
      <w:r w:rsidRPr="0050721B">
        <w:rPr>
          <w:rFonts w:ascii="Times New Roman" w:hAnsi="Times New Roman"/>
          <w:b/>
          <w:sz w:val="24"/>
          <w:szCs w:val="24"/>
        </w:rPr>
        <w:t>Trajtim i ankesave brenda</w:t>
      </w:r>
      <w:r w:rsidRPr="0050721B">
        <w:rPr>
          <w:rFonts w:ascii="Times New Roman" w:hAnsi="Times New Roman"/>
          <w:sz w:val="24"/>
          <w:szCs w:val="24"/>
        </w:rPr>
        <w:t xml:space="preserve"> afateve dhe (kthim përgjigje/inspektime/vendime, kryesisht në bazë të ankesave).</w:t>
      </w:r>
    </w:p>
    <w:p w:rsidR="00DB519C" w:rsidRPr="0050721B" w:rsidRDefault="008233D2" w:rsidP="0050721B">
      <w:pPr>
        <w:spacing w:after="160" w:line="276" w:lineRule="auto"/>
        <w:jc w:val="both"/>
      </w:pPr>
      <w:r w:rsidRPr="0050721B">
        <w:t xml:space="preserve">Ankesa të trajtuara në kuadër të parashikimeve të Ligjit “Për të Drejtën e Informimit” Ligjit “Për njoftimin dhe konsultimin publik”, </w:t>
      </w:r>
      <w:r w:rsidR="00961B6C" w:rsidRPr="0050721B">
        <w:t>si dhe Ligjit për të dhënat e hapura dhe ripërdorimit, p</w:t>
      </w:r>
      <w:r w:rsidR="00D3657C">
        <w:t>ë</w:t>
      </w:r>
      <w:r w:rsidR="00961B6C" w:rsidRPr="0050721B">
        <w:t>r t</w:t>
      </w:r>
      <w:r w:rsidR="00D3657C">
        <w:t>ë</w:t>
      </w:r>
      <w:r w:rsidR="00961B6C" w:rsidRPr="0050721B">
        <w:t xml:space="preserve"> cilat k</w:t>
      </w:r>
      <w:r w:rsidR="00D3657C">
        <w:t xml:space="preserve">ryhen nje sërë aktivitetesh si </w:t>
      </w:r>
      <w:r w:rsidRPr="0050721B">
        <w:t xml:space="preserve">hetime të kryera, seanca dëgjimore të zhvilluara si dhe </w:t>
      </w:r>
      <w:r w:rsidR="00961B6C" w:rsidRPr="0050721B">
        <w:t>Vendim</w:t>
      </w:r>
      <w:r w:rsidR="00D3657C">
        <w:t>m</w:t>
      </w:r>
      <w:r w:rsidR="00961B6C" w:rsidRPr="0050721B">
        <w:t xml:space="preserve">arrje </w:t>
      </w:r>
      <w:r w:rsidRPr="0050721B">
        <w:t>etj</w:t>
      </w:r>
    </w:p>
    <w:p w:rsidR="008233D2" w:rsidRPr="0050721B" w:rsidRDefault="008233D2" w:rsidP="0050721B">
      <w:pPr>
        <w:pStyle w:val="ListParagraph"/>
        <w:numPr>
          <w:ilvl w:val="0"/>
          <w:numId w:val="32"/>
        </w:numPr>
        <w:jc w:val="both"/>
        <w:rPr>
          <w:rFonts w:ascii="Times New Roman" w:hAnsi="Times New Roman"/>
          <w:b/>
          <w:sz w:val="24"/>
          <w:szCs w:val="24"/>
        </w:rPr>
      </w:pPr>
      <w:r w:rsidRPr="0050721B">
        <w:rPr>
          <w:rFonts w:ascii="Times New Roman" w:hAnsi="Times New Roman"/>
          <w:b/>
          <w:sz w:val="24"/>
          <w:szCs w:val="24"/>
        </w:rPr>
        <w:t xml:space="preserve">Mbrojtja e të dhënave personale </w:t>
      </w:r>
    </w:p>
    <w:p w:rsidR="00D3657C" w:rsidRPr="00E76D5D" w:rsidRDefault="008233D2" w:rsidP="00E76D5D">
      <w:pPr>
        <w:pStyle w:val="BodyText"/>
        <w:numPr>
          <w:ilvl w:val="0"/>
          <w:numId w:val="2"/>
        </w:numPr>
        <w:spacing w:after="0" w:line="276" w:lineRule="auto"/>
        <w:jc w:val="both"/>
        <w:rPr>
          <w:b/>
        </w:rPr>
      </w:pPr>
      <w:r w:rsidRPr="0050721B">
        <w:rPr>
          <w:b/>
        </w:rPr>
        <w:t>Mbikëqyrje dhe inspektime.</w:t>
      </w:r>
    </w:p>
    <w:p w:rsidR="00DB519C" w:rsidRPr="0050721B" w:rsidRDefault="008233D2" w:rsidP="0050721B">
      <w:pPr>
        <w:pStyle w:val="BodyText"/>
        <w:spacing w:after="0" w:line="276" w:lineRule="auto"/>
        <w:jc w:val="both"/>
      </w:pPr>
      <w:r w:rsidRPr="0050721B">
        <w:t xml:space="preserve">Nëpërmjet procedurave për realizimin e këtij produkti do të bëhet e mundur minimizimi i rrezikut të cënimit të privatësisë dhe mbrojtjes së të dhënave personale; Ndërgjegjësimi dhe disiplinimi i kontrolluesve; Krijimi i praktikës së mirë për kontrolluesit. </w:t>
      </w:r>
    </w:p>
    <w:p w:rsidR="00244377" w:rsidRPr="00D3657C" w:rsidRDefault="008233D2" w:rsidP="00D3657C">
      <w:pPr>
        <w:pStyle w:val="ListParagraph"/>
        <w:numPr>
          <w:ilvl w:val="0"/>
          <w:numId w:val="2"/>
        </w:numPr>
        <w:jc w:val="both"/>
        <w:rPr>
          <w:rFonts w:ascii="Times New Roman" w:hAnsi="Times New Roman"/>
          <w:b/>
          <w:sz w:val="24"/>
          <w:szCs w:val="24"/>
        </w:rPr>
      </w:pPr>
      <w:r w:rsidRPr="0050721B">
        <w:rPr>
          <w:rFonts w:ascii="Times New Roman" w:hAnsi="Times New Roman"/>
          <w:b/>
          <w:sz w:val="24"/>
          <w:szCs w:val="24"/>
        </w:rPr>
        <w:lastRenderedPageBreak/>
        <w:t>Ankesa të trajtuara</w:t>
      </w:r>
    </w:p>
    <w:p w:rsidR="00961B6C" w:rsidRPr="0050721B" w:rsidRDefault="008233D2" w:rsidP="0050721B">
      <w:pPr>
        <w:pStyle w:val="ListParagraph"/>
        <w:spacing w:after="120"/>
        <w:ind w:left="0"/>
        <w:contextualSpacing w:val="0"/>
        <w:jc w:val="both"/>
        <w:rPr>
          <w:rFonts w:ascii="Times New Roman" w:eastAsia="Batang" w:hAnsi="Times New Roman"/>
          <w:b/>
          <w:sz w:val="24"/>
          <w:szCs w:val="24"/>
        </w:rPr>
      </w:pPr>
      <w:r w:rsidRPr="0050721B">
        <w:rPr>
          <w:rFonts w:ascii="Times New Roman" w:hAnsi="Times New Roman"/>
          <w:sz w:val="24"/>
          <w:szCs w:val="24"/>
        </w:rPr>
        <w:t xml:space="preserve">Trajtimi në kohë i ankesave të ardhura </w:t>
      </w:r>
      <w:r w:rsidRPr="0050721B">
        <w:rPr>
          <w:rFonts w:ascii="Times New Roman" w:hAnsi="Times New Roman"/>
          <w:bCs/>
          <w:sz w:val="24"/>
          <w:szCs w:val="24"/>
        </w:rPr>
        <w:t xml:space="preserve">nga subjektet e të dhënave personale, </w:t>
      </w:r>
      <w:r w:rsidRPr="0050721B">
        <w:rPr>
          <w:rFonts w:ascii="Times New Roman" w:hAnsi="Times New Roman"/>
          <w:sz w:val="24"/>
          <w:szCs w:val="24"/>
        </w:rPr>
        <w:t>në kuadër të ligjshmërisë së përpunimit të të dhënave personale etj</w:t>
      </w:r>
      <w:r w:rsidR="00DB519C" w:rsidRPr="0050721B">
        <w:rPr>
          <w:rFonts w:ascii="Times New Roman" w:eastAsia="Batang" w:hAnsi="Times New Roman"/>
          <w:b/>
          <w:sz w:val="24"/>
          <w:szCs w:val="24"/>
        </w:rPr>
        <w:t xml:space="preserve"> </w:t>
      </w:r>
    </w:p>
    <w:p w:rsidR="00244377" w:rsidRPr="0050721B" w:rsidRDefault="00244377" w:rsidP="0050721B">
      <w:pPr>
        <w:pStyle w:val="ListParagraph"/>
        <w:numPr>
          <w:ilvl w:val="0"/>
          <w:numId w:val="40"/>
        </w:numPr>
        <w:spacing w:after="120"/>
        <w:contextualSpacing w:val="0"/>
        <w:jc w:val="both"/>
        <w:rPr>
          <w:rFonts w:ascii="Times New Roman" w:hAnsi="Times New Roman"/>
          <w:sz w:val="24"/>
          <w:szCs w:val="24"/>
        </w:rPr>
      </w:pPr>
      <w:r w:rsidRPr="0050721B">
        <w:rPr>
          <w:rFonts w:ascii="Times New Roman" w:eastAsia="Batang" w:hAnsi="Times New Roman"/>
          <w:b/>
          <w:sz w:val="24"/>
          <w:szCs w:val="24"/>
        </w:rPr>
        <w:t xml:space="preserve">Analiza e treguesve </w:t>
      </w:r>
    </w:p>
    <w:p w:rsidR="0044208F" w:rsidRPr="0050721B" w:rsidRDefault="008233D2" w:rsidP="0050721B">
      <w:pPr>
        <w:pStyle w:val="ListParagraph"/>
        <w:ind w:left="0"/>
        <w:contextualSpacing w:val="0"/>
        <w:jc w:val="both"/>
        <w:rPr>
          <w:rFonts w:ascii="Times New Roman" w:hAnsi="Times New Roman"/>
          <w:sz w:val="24"/>
          <w:szCs w:val="24"/>
        </w:rPr>
      </w:pPr>
      <w:r w:rsidRPr="0050721B">
        <w:rPr>
          <w:rFonts w:ascii="Times New Roman" w:hAnsi="Times New Roman"/>
          <w:sz w:val="24"/>
          <w:szCs w:val="24"/>
        </w:rPr>
        <w:t xml:space="preserve">Mbikëqyrja e zbatimit të Ligjit nr. 119/2014 “Për të Drejtën e Informimit”, është kryer nëpërmjet monitorimit të elementëve të ndryshëm të ligjit si p.sh. numri i autoriteteve publike që kanë hartuar programet e transparencës, koordinatorë të caktuar nga autoritetet publike, përditësimi i regjistrit të kërkesave dhe përgjigjeve, numri i ankesave të shqyrtuara, hetimet e kryera, seanca dëgjimore të zhvilluara si dhe vendimet e dhëna. </w:t>
      </w:r>
    </w:p>
    <w:p w:rsidR="008233D2" w:rsidRPr="0050721B" w:rsidRDefault="008233D2" w:rsidP="0050721B">
      <w:pPr>
        <w:pStyle w:val="ListParagraph"/>
        <w:ind w:left="0"/>
        <w:contextualSpacing w:val="0"/>
        <w:jc w:val="both"/>
        <w:rPr>
          <w:rFonts w:ascii="Times New Roman" w:hAnsi="Times New Roman"/>
          <w:sz w:val="24"/>
          <w:szCs w:val="24"/>
        </w:rPr>
      </w:pPr>
      <w:r w:rsidRPr="0050721B">
        <w:rPr>
          <w:rFonts w:ascii="Times New Roman" w:hAnsi="Times New Roman"/>
          <w:sz w:val="24"/>
          <w:szCs w:val="24"/>
        </w:rPr>
        <w:t>Produktet kryesore janë:</w:t>
      </w:r>
    </w:p>
    <w:p w:rsidR="008233D2" w:rsidRPr="0050721B" w:rsidRDefault="008233D2" w:rsidP="0050721B">
      <w:pPr>
        <w:spacing w:after="160" w:line="276" w:lineRule="auto"/>
        <w:jc w:val="both"/>
        <w:rPr>
          <w:color w:val="0D0D0D" w:themeColor="text1" w:themeTint="F2"/>
        </w:rPr>
      </w:pPr>
      <w:r w:rsidRPr="0050721B">
        <w:rPr>
          <w:rFonts w:eastAsia="Batang"/>
          <w:b/>
          <w:color w:val="0D0D0D" w:themeColor="text1" w:themeTint="F2"/>
        </w:rPr>
        <w:t xml:space="preserve">Nënprodukti A: </w:t>
      </w:r>
      <w:r w:rsidRPr="0050721B">
        <w:rPr>
          <w:b/>
          <w:color w:val="0D0D0D" w:themeColor="text1" w:themeTint="F2"/>
        </w:rPr>
        <w:t>Trajtim i ankesave brenda afateve</w:t>
      </w:r>
      <w:r w:rsidRPr="0050721B">
        <w:rPr>
          <w:color w:val="0D0D0D" w:themeColor="text1" w:themeTint="F2"/>
        </w:rPr>
        <w:t xml:space="preserve"> (kthim përgjigje/inspektime/vendime, kryesisht në bazë të ankesave (i ndryshuar), rreth </w:t>
      </w:r>
      <w:r w:rsidR="00E12845" w:rsidRPr="0050721B">
        <w:rPr>
          <w:color w:val="0D0D0D" w:themeColor="text1" w:themeTint="F2"/>
        </w:rPr>
        <w:t>1100</w:t>
      </w:r>
      <w:r w:rsidRPr="0050721B">
        <w:rPr>
          <w:color w:val="0D0D0D" w:themeColor="text1" w:themeTint="F2"/>
        </w:rPr>
        <w:t>+-)</w:t>
      </w:r>
    </w:p>
    <w:p w:rsidR="008233D2" w:rsidRPr="0050721B" w:rsidRDefault="008233D2" w:rsidP="0050721B">
      <w:pPr>
        <w:spacing w:after="160" w:line="276" w:lineRule="auto"/>
        <w:jc w:val="both"/>
      </w:pPr>
      <w:r w:rsidRPr="0050721B">
        <w:t xml:space="preserve">Zyra e Komisionerit ka realizuar monitorimin e zbatimit të ligjit për të drejtën e informimit, duke shqyrtuar jo vetëm ankesat e depozituara, por duke kryer gjithashtu inspektime, seanca dëgjimore si dhe duke marrë vendime urdhërimi apo sanksionimi sipas ligjit për rastet kur është konstatuar refuzim i padrejtë i vënies në dispozicion të informacionit. </w:t>
      </w:r>
    </w:p>
    <w:p w:rsidR="009F0D96" w:rsidRPr="00F03355" w:rsidRDefault="009F0D96" w:rsidP="0050721B">
      <w:pPr>
        <w:spacing w:line="276" w:lineRule="auto"/>
        <w:jc w:val="both"/>
      </w:pPr>
      <w:r w:rsidRPr="00F03355">
        <w:t>Nga ankesat e paraqitura, për 327 prej tyre, informacioni/dokumentacioni i kërkuar është vendosur në dispozicion të ankuesve, gjatë zhvillimit të procesit të he</w:t>
      </w:r>
      <w:r w:rsidR="00D3657C" w:rsidRPr="00F03355">
        <w:t>timit administrativ. Ndërkohë, 73 ankesa janë në proc</w:t>
      </w:r>
      <w:r w:rsidRPr="00F03355">
        <w:t xml:space="preserve">es shqyrtimi, 7 ankesa janë konsideruar të paplota, 44 ankesa janë jashtë afatit, 118 ankesa janë konsideruar jashtë objektit dhe 13 prej tyre janë refuzuar bazuar në kufizimet e nenit 17 të ligjit nr.119/2014 “Për të drejtën e informimit”, i ndryshuar (në vijim, “LDI”). </w:t>
      </w:r>
    </w:p>
    <w:p w:rsidR="009F0D96" w:rsidRPr="00F03355" w:rsidRDefault="009F0D96" w:rsidP="0050721B">
      <w:pPr>
        <w:spacing w:line="276" w:lineRule="auto"/>
        <w:jc w:val="both"/>
        <w:rPr>
          <w:sz w:val="16"/>
        </w:rPr>
      </w:pPr>
    </w:p>
    <w:p w:rsidR="009F0D96" w:rsidRPr="00F03355" w:rsidRDefault="009F0D96" w:rsidP="00E76D5D">
      <w:pPr>
        <w:spacing w:line="276" w:lineRule="auto"/>
        <w:jc w:val="both"/>
      </w:pPr>
      <w:r w:rsidRPr="00F03355">
        <w:t>Gjatë kësaj periudhe janë zhvilluar 6 seanca dëgjimore dhe 12 inspektime. Gjithashtu, janë dhënë 20 vendime nga të cilat 10 vendime urdhërimi, 9 ven</w:t>
      </w:r>
      <w:r w:rsidR="00E76D5D" w:rsidRPr="00F03355">
        <w:t>dim rrëzimi dhe 1 vendim gjobe.</w:t>
      </w:r>
    </w:p>
    <w:p w:rsidR="00E76D5D" w:rsidRPr="00E76D5D" w:rsidRDefault="00E76D5D" w:rsidP="00E76D5D">
      <w:pPr>
        <w:spacing w:line="276" w:lineRule="auto"/>
        <w:jc w:val="both"/>
        <w:rPr>
          <w:sz w:val="16"/>
        </w:rPr>
      </w:pPr>
    </w:p>
    <w:p w:rsidR="009F0D96" w:rsidRPr="00E76D5D" w:rsidRDefault="00A03AE0" w:rsidP="0050721B">
      <w:pPr>
        <w:spacing w:line="276" w:lineRule="auto"/>
        <w:jc w:val="both"/>
        <w:rPr>
          <w:color w:val="0D0D0D" w:themeColor="text1" w:themeTint="F2"/>
        </w:rPr>
      </w:pPr>
      <w:r w:rsidRPr="0050721B">
        <w:rPr>
          <w:color w:val="0D0D0D" w:themeColor="text1" w:themeTint="F2"/>
        </w:rPr>
        <w:t>Drejtoria e Vlerësimit të Ankesave pranë Drejtorisë së Përgjithshme të së Drejtës për Informim në Zyrën e Komisionerit</w:t>
      </w:r>
      <w:r w:rsidR="00D3657C">
        <w:rPr>
          <w:color w:val="0D0D0D" w:themeColor="text1" w:themeTint="F2"/>
        </w:rPr>
        <w:t>,</w:t>
      </w:r>
      <w:r w:rsidRPr="0050721B">
        <w:rPr>
          <w:color w:val="0D0D0D" w:themeColor="text1" w:themeTint="F2"/>
        </w:rPr>
        <w:t xml:space="preserve"> për </w:t>
      </w:r>
      <w:r w:rsidR="005E1C52" w:rsidRPr="0050721B">
        <w:rPr>
          <w:color w:val="0D0D0D" w:themeColor="text1" w:themeTint="F2"/>
        </w:rPr>
        <w:t xml:space="preserve">periudhën e raportimit, </w:t>
      </w:r>
      <w:r w:rsidR="009F0D96" w:rsidRPr="0050721B">
        <w:rPr>
          <w:color w:val="0D0D0D" w:themeColor="text1" w:themeTint="F2"/>
        </w:rPr>
        <w:t xml:space="preserve">ka administruar </w:t>
      </w:r>
      <w:r w:rsidR="009F0D96" w:rsidRPr="0050721B">
        <w:rPr>
          <w:b/>
          <w:color w:val="0D0D0D" w:themeColor="text1" w:themeTint="F2"/>
        </w:rPr>
        <w:t>567 ankesa</w:t>
      </w:r>
      <w:r w:rsidR="009F0D96" w:rsidRPr="0050721B">
        <w:rPr>
          <w:color w:val="0D0D0D" w:themeColor="text1" w:themeTint="F2"/>
        </w:rPr>
        <w:t xml:space="preserve"> nga qytetarë, përfaqësues të shoqërisë civile dhe gazetarë investigativë, si dhe ka vijuar shqyrtimin e 36 ankesave të mbartura nga viti 2024 (gjithsej 603 ankesa). Nga ankesat e paraqitura, për 327 prej tyre, informacioni/dokumentacioni i kërkuar është vendosur në dispozicion të ankuesve, gjatë zhvillimit të procesit të hetimit administrativ. Ndërkohë,  73 ankesa janë në proçes shqyrtimi, 7 ankesa janë konsideruar të paplota, 44 ankesa janë jashtë afatit, 118 ankesa janë konsideruar jashtë objektit dhe 13 prej tyre janë refuzuar bazuar në kufizimet e nenit 17 të ligjit nr.119/2014 “Për të drejtën e informimit”, i ndryshuar (në vijim, “LDI”). </w:t>
      </w:r>
      <w:r w:rsidRPr="0050721B">
        <w:rPr>
          <w:color w:val="0D0D0D" w:themeColor="text1" w:themeTint="F2"/>
        </w:rPr>
        <w:t xml:space="preserve">Këto shifra tregojnë </w:t>
      </w:r>
      <w:r w:rsidR="005E1C52" w:rsidRPr="0050721B">
        <w:rPr>
          <w:color w:val="0D0D0D" w:themeColor="text1" w:themeTint="F2"/>
        </w:rPr>
        <w:t>ecuri shumë poz</w:t>
      </w:r>
      <w:r w:rsidR="00D52437" w:rsidRPr="0050721B">
        <w:rPr>
          <w:color w:val="0D0D0D" w:themeColor="text1" w:themeTint="F2"/>
        </w:rPr>
        <w:t>itive</w:t>
      </w:r>
      <w:r w:rsidRPr="0050721B">
        <w:rPr>
          <w:color w:val="0D0D0D" w:themeColor="text1" w:themeTint="F2"/>
        </w:rPr>
        <w:t xml:space="preserve"> të </w:t>
      </w:r>
      <w:r w:rsidR="00D52437" w:rsidRPr="0050721B">
        <w:rPr>
          <w:color w:val="0D0D0D" w:themeColor="text1" w:themeTint="F2"/>
        </w:rPr>
        <w:t xml:space="preserve">trajtimit dhe  </w:t>
      </w:r>
      <w:r w:rsidRPr="0050721B">
        <w:rPr>
          <w:color w:val="0D0D0D" w:themeColor="text1" w:themeTint="F2"/>
        </w:rPr>
        <w:t>tendencë</w:t>
      </w:r>
      <w:r w:rsidR="00D52437" w:rsidRPr="0050721B">
        <w:rPr>
          <w:color w:val="0D0D0D" w:themeColor="text1" w:themeTint="F2"/>
        </w:rPr>
        <w:t xml:space="preserve">s së </w:t>
      </w:r>
      <w:r w:rsidRPr="0050721B">
        <w:rPr>
          <w:color w:val="0D0D0D" w:themeColor="text1" w:themeTint="F2"/>
        </w:rPr>
        <w:t xml:space="preserve"> </w:t>
      </w:r>
      <w:r w:rsidR="00D52437" w:rsidRPr="0050721B">
        <w:rPr>
          <w:color w:val="0D0D0D" w:themeColor="text1" w:themeTint="F2"/>
        </w:rPr>
        <w:t xml:space="preserve"> </w:t>
      </w:r>
      <w:r w:rsidRPr="0050721B">
        <w:rPr>
          <w:color w:val="0D0D0D" w:themeColor="text1" w:themeTint="F2"/>
        </w:rPr>
        <w:t xml:space="preserve">përmirësimit të </w:t>
      </w:r>
      <w:r w:rsidR="00D52437" w:rsidRPr="0050721B">
        <w:rPr>
          <w:color w:val="0D0D0D" w:themeColor="text1" w:themeTint="F2"/>
        </w:rPr>
        <w:t xml:space="preserve">treguesve të </w:t>
      </w:r>
      <w:r w:rsidRPr="0050721B">
        <w:rPr>
          <w:color w:val="0D0D0D" w:themeColor="text1" w:themeTint="F2"/>
        </w:rPr>
        <w:t>transparencës proa</w:t>
      </w:r>
      <w:r w:rsidR="00DB519C" w:rsidRPr="0050721B">
        <w:rPr>
          <w:color w:val="0D0D0D" w:themeColor="text1" w:themeTint="F2"/>
        </w:rPr>
        <w:t>ktive të autoriteteve publike</w:t>
      </w:r>
      <w:r w:rsidR="009F0D96" w:rsidRPr="0050721B">
        <w:rPr>
          <w:color w:val="0D0D0D" w:themeColor="text1" w:themeTint="F2"/>
        </w:rPr>
        <w:t>, pasi qytetarët  kanë marrë përgjigje pozitive</w:t>
      </w:r>
      <w:r w:rsidR="00E76D5D">
        <w:rPr>
          <w:color w:val="0D0D0D" w:themeColor="text1" w:themeTint="F2"/>
        </w:rPr>
        <w:t xml:space="preserve"> lidhur me ankesat e trajtuara </w:t>
      </w:r>
    </w:p>
    <w:p w:rsidR="00981A9A" w:rsidRPr="0050721B" w:rsidRDefault="009F0D96" w:rsidP="0050721B">
      <w:pPr>
        <w:spacing w:line="276" w:lineRule="auto"/>
        <w:jc w:val="both"/>
        <w:rPr>
          <w:color w:val="0D0D0D" w:themeColor="text1" w:themeTint="F2"/>
        </w:rPr>
      </w:pPr>
      <w:r w:rsidRPr="0050721B">
        <w:rPr>
          <w:color w:val="0D0D0D" w:themeColor="text1" w:themeTint="F2"/>
        </w:rPr>
        <w:t>Gjatë kësaj periudhe janë zhvilluar 6 seanca dëgjimore dhe 12 inspektime. Gjithashtu, janë dhënë 20 vendime nga të cilat 10 vendime urdhërimi, 9 vendim rrëzimi dhe 1 vendim gjobe.</w:t>
      </w:r>
    </w:p>
    <w:p w:rsidR="008233D2" w:rsidRPr="0050721B" w:rsidRDefault="008233D2" w:rsidP="0050721B">
      <w:pPr>
        <w:spacing w:after="80" w:line="276" w:lineRule="auto"/>
        <w:ind w:right="144"/>
        <w:jc w:val="both"/>
        <w:rPr>
          <w:color w:val="0D0D0D" w:themeColor="text1" w:themeTint="F2"/>
        </w:rPr>
      </w:pPr>
      <w:r w:rsidRPr="0050721B">
        <w:rPr>
          <w:color w:val="0D0D0D" w:themeColor="text1" w:themeTint="F2"/>
        </w:rPr>
        <w:lastRenderedPageBreak/>
        <w:t>Në zbatim të ligjit nr.119/2014 “Për të drejtën e informimit”, i ndryshuar, Zyra e Komisionerit ka vijuar punën për mbikëqyrjen dhe garantimin e të drejtës për akses në informacion publik, duke u mbështetur në vendosjen e balancës dhe respektimin e parimit të proporcionalitetit.</w:t>
      </w:r>
    </w:p>
    <w:p w:rsidR="008233D2" w:rsidRPr="0050721B" w:rsidRDefault="00D52437" w:rsidP="0050721B">
      <w:pPr>
        <w:spacing w:line="276" w:lineRule="auto"/>
        <w:jc w:val="both"/>
        <w:rPr>
          <w:color w:val="0D0D0D" w:themeColor="text1" w:themeTint="F2"/>
        </w:rPr>
      </w:pPr>
      <w:r w:rsidRPr="0050721B">
        <w:rPr>
          <w:color w:val="0D0D0D" w:themeColor="text1" w:themeTint="F2"/>
        </w:rPr>
        <w:t xml:space="preserve"> </w:t>
      </w:r>
    </w:p>
    <w:p w:rsidR="00F03355" w:rsidRDefault="008233D2" w:rsidP="0050721B">
      <w:pPr>
        <w:spacing w:line="276" w:lineRule="auto"/>
        <w:jc w:val="both"/>
        <w:rPr>
          <w:color w:val="0D0D0D" w:themeColor="text1" w:themeTint="F2"/>
        </w:rPr>
      </w:pPr>
      <w:r w:rsidRPr="0050721B">
        <w:rPr>
          <w:b/>
          <w:color w:val="0D0D0D" w:themeColor="text1" w:themeTint="F2"/>
        </w:rPr>
        <w:t xml:space="preserve">Në tërësi Nënprodukti A: </w:t>
      </w:r>
      <w:r w:rsidR="00D52437" w:rsidRPr="0050721B">
        <w:rPr>
          <w:b/>
          <w:color w:val="0D0D0D" w:themeColor="text1" w:themeTint="F2"/>
        </w:rPr>
        <w:t>1100</w:t>
      </w:r>
      <w:r w:rsidRPr="0050721B">
        <w:rPr>
          <w:b/>
          <w:color w:val="0D0D0D" w:themeColor="text1" w:themeTint="F2"/>
        </w:rPr>
        <w:t xml:space="preserve"> (</w:t>
      </w:r>
      <w:r w:rsidR="00D875D7" w:rsidRPr="0050721B">
        <w:rPr>
          <w:b/>
          <w:color w:val="0D0D0D" w:themeColor="text1" w:themeTint="F2"/>
        </w:rPr>
        <w:t>603</w:t>
      </w:r>
      <w:r w:rsidR="00FF7575" w:rsidRPr="0050721B">
        <w:rPr>
          <w:b/>
          <w:color w:val="0D0D0D" w:themeColor="text1" w:themeTint="F2"/>
        </w:rPr>
        <w:t xml:space="preserve"> </w:t>
      </w:r>
      <w:r w:rsidRPr="0050721B">
        <w:rPr>
          <w:b/>
          <w:color w:val="0D0D0D" w:themeColor="text1" w:themeTint="F2"/>
        </w:rPr>
        <w:t>ankesa t</w:t>
      </w:r>
      <w:r w:rsidR="00177F2A" w:rsidRPr="0050721B">
        <w:rPr>
          <w:b/>
          <w:color w:val="0D0D0D" w:themeColor="text1" w:themeTint="F2"/>
        </w:rPr>
        <w:t>ë</w:t>
      </w:r>
      <w:r w:rsidRPr="0050721B">
        <w:rPr>
          <w:b/>
          <w:color w:val="0D0D0D" w:themeColor="text1" w:themeTint="F2"/>
        </w:rPr>
        <w:t xml:space="preserve"> trajtuara</w:t>
      </w:r>
      <w:r w:rsidR="00893D1F" w:rsidRPr="0050721B">
        <w:rPr>
          <w:b/>
          <w:color w:val="0D0D0D" w:themeColor="text1" w:themeTint="F2"/>
        </w:rPr>
        <w:t xml:space="preserve"> + </w:t>
      </w:r>
      <w:r w:rsidR="00D875D7" w:rsidRPr="0050721B">
        <w:rPr>
          <w:b/>
          <w:color w:val="0D0D0D" w:themeColor="text1" w:themeTint="F2"/>
        </w:rPr>
        <w:t>12</w:t>
      </w:r>
      <w:r w:rsidR="00893D1F" w:rsidRPr="0050721B">
        <w:rPr>
          <w:b/>
          <w:color w:val="0D0D0D" w:themeColor="text1" w:themeTint="F2"/>
        </w:rPr>
        <w:t xml:space="preserve"> </w:t>
      </w:r>
      <w:r w:rsidR="0044208F" w:rsidRPr="0050721B">
        <w:rPr>
          <w:b/>
          <w:color w:val="0D0D0D" w:themeColor="text1" w:themeTint="F2"/>
        </w:rPr>
        <w:t>inspektime</w:t>
      </w:r>
      <w:r w:rsidRPr="0050721B">
        <w:rPr>
          <w:b/>
          <w:color w:val="0D0D0D" w:themeColor="text1" w:themeTint="F2"/>
        </w:rPr>
        <w:t xml:space="preserve">) </w:t>
      </w:r>
      <w:r w:rsidRPr="0050721B">
        <w:rPr>
          <w:color w:val="0D0D0D" w:themeColor="text1" w:themeTint="F2"/>
        </w:rPr>
        <w:t xml:space="preserve">realizuar rreth  </w:t>
      </w:r>
      <w:r w:rsidR="00D875D7" w:rsidRPr="0050721B">
        <w:rPr>
          <w:color w:val="0D0D0D" w:themeColor="text1" w:themeTint="F2"/>
        </w:rPr>
        <w:t>56</w:t>
      </w:r>
      <w:r w:rsidRPr="0050721B">
        <w:rPr>
          <w:color w:val="0D0D0D" w:themeColor="text1" w:themeTint="F2"/>
        </w:rPr>
        <w:t xml:space="preserve"> % të planifikimit vjetor</w:t>
      </w:r>
      <w:r w:rsidR="00DF06D2" w:rsidRPr="0050721B">
        <w:rPr>
          <w:color w:val="0D0D0D" w:themeColor="text1" w:themeTint="F2"/>
        </w:rPr>
        <w:t xml:space="preserve">. Krahasuar me të njejtën periudhë të vitit të kaluar ka një rënie të numrit të ankesave, çka tregon qartë plotësimin e kërkesave për informacion të  qytetarëve,  nga Autoritet publike.  </w:t>
      </w:r>
    </w:p>
    <w:p w:rsidR="00F03355" w:rsidRDefault="00F03355" w:rsidP="0050721B">
      <w:pPr>
        <w:spacing w:line="276" w:lineRule="auto"/>
        <w:jc w:val="both"/>
        <w:rPr>
          <w:color w:val="0D0D0D" w:themeColor="text1" w:themeTint="F2"/>
        </w:rPr>
      </w:pPr>
    </w:p>
    <w:p w:rsidR="008233D2" w:rsidRPr="0050721B" w:rsidRDefault="00F03355" w:rsidP="00F03355">
      <w:pPr>
        <w:spacing w:line="276" w:lineRule="auto"/>
        <w:jc w:val="both"/>
        <w:rPr>
          <w:color w:val="0D0D0D" w:themeColor="text1" w:themeTint="F2"/>
        </w:rPr>
      </w:pPr>
      <w:r w:rsidRPr="0050721B">
        <w:rPr>
          <w:b/>
          <w:color w:val="0D0D0D" w:themeColor="text1" w:themeTint="F2"/>
        </w:rPr>
        <w:t xml:space="preserve">Në tërësi Nënprodukti A: 1100 (603 ankesa të trajtuara + 12 inspektime) </w:t>
      </w:r>
      <w:r w:rsidRPr="0050721B">
        <w:rPr>
          <w:color w:val="0D0D0D" w:themeColor="text1" w:themeTint="F2"/>
        </w:rPr>
        <w:t xml:space="preserve">realizuar </w:t>
      </w:r>
    </w:p>
    <w:p w:rsidR="001B50E5" w:rsidRPr="0050721B" w:rsidRDefault="008233D2" w:rsidP="0050721B">
      <w:pPr>
        <w:spacing w:line="276" w:lineRule="auto"/>
        <w:jc w:val="both"/>
        <w:rPr>
          <w:b/>
          <w:color w:val="0D0D0D" w:themeColor="text1" w:themeTint="F2"/>
        </w:rPr>
      </w:pPr>
      <w:r w:rsidRPr="0050721B">
        <w:rPr>
          <w:rFonts w:eastAsia="Batang"/>
          <w:b/>
          <w:color w:val="0D0D0D" w:themeColor="text1" w:themeTint="F2"/>
        </w:rPr>
        <w:t xml:space="preserve">Nënprodukti B- </w:t>
      </w:r>
      <w:r w:rsidRPr="0050721B">
        <w:rPr>
          <w:b/>
          <w:color w:val="0D0D0D" w:themeColor="text1" w:themeTint="F2"/>
        </w:rPr>
        <w:t>Monitorim i Autoriteteve Publike me pro</w:t>
      </w:r>
      <w:r w:rsidR="005154EF" w:rsidRPr="0050721B">
        <w:rPr>
          <w:b/>
          <w:color w:val="0D0D0D" w:themeColor="text1" w:themeTint="F2"/>
        </w:rPr>
        <w:t xml:space="preserve">grame transparencë </w:t>
      </w:r>
      <w:r w:rsidRPr="0050721B">
        <w:rPr>
          <w:b/>
          <w:color w:val="0D0D0D" w:themeColor="text1" w:themeTint="F2"/>
        </w:rPr>
        <w:t>(</w:t>
      </w:r>
      <w:r w:rsidR="00DF06D2" w:rsidRPr="0050721B">
        <w:rPr>
          <w:b/>
          <w:color w:val="0D0D0D" w:themeColor="text1" w:themeTint="F2"/>
        </w:rPr>
        <w:t>3</w:t>
      </w:r>
      <w:r w:rsidR="001517FC" w:rsidRPr="0050721B">
        <w:rPr>
          <w:b/>
          <w:color w:val="0D0D0D" w:themeColor="text1" w:themeTint="F2"/>
        </w:rPr>
        <w:t>6</w:t>
      </w:r>
      <w:r w:rsidR="00A71883" w:rsidRPr="0050721B">
        <w:rPr>
          <w:b/>
          <w:color w:val="0D0D0D" w:themeColor="text1" w:themeTint="F2"/>
        </w:rPr>
        <w:t>7</w:t>
      </w:r>
      <w:r w:rsidRPr="0050721B">
        <w:rPr>
          <w:b/>
          <w:color w:val="0D0D0D" w:themeColor="text1" w:themeTint="F2"/>
        </w:rPr>
        <w:t xml:space="preserve"> +-</w:t>
      </w:r>
      <w:r w:rsidR="006A4608" w:rsidRPr="0050721B">
        <w:rPr>
          <w:b/>
          <w:color w:val="0D0D0D" w:themeColor="text1" w:themeTint="F2"/>
        </w:rPr>
        <w:t xml:space="preserve"> </w:t>
      </w:r>
      <w:r w:rsidR="00D81E26" w:rsidRPr="0050721B">
        <w:rPr>
          <w:b/>
          <w:color w:val="0D0D0D" w:themeColor="text1" w:themeTint="F2"/>
        </w:rPr>
        <w:t xml:space="preserve">78 </w:t>
      </w:r>
      <w:r w:rsidRPr="0050721B">
        <w:rPr>
          <w:b/>
          <w:color w:val="0D0D0D" w:themeColor="text1" w:themeTint="F2"/>
        </w:rPr>
        <w:t>monitorime) .</w:t>
      </w:r>
    </w:p>
    <w:p w:rsidR="00565E32" w:rsidRPr="0050721B" w:rsidRDefault="00565E32" w:rsidP="0050721B">
      <w:pPr>
        <w:spacing w:line="276" w:lineRule="auto"/>
        <w:jc w:val="both"/>
        <w:rPr>
          <w:b/>
          <w:color w:val="0D0D0D" w:themeColor="text1" w:themeTint="F2"/>
        </w:rPr>
      </w:pPr>
    </w:p>
    <w:p w:rsidR="00565E32" w:rsidRPr="00F03355" w:rsidRDefault="00565E32" w:rsidP="0050721B">
      <w:pPr>
        <w:spacing w:line="276" w:lineRule="auto"/>
        <w:ind w:right="144"/>
        <w:jc w:val="both"/>
        <w:rPr>
          <w:color w:val="000000" w:themeColor="text1"/>
        </w:rPr>
      </w:pPr>
      <w:r w:rsidRPr="00F03355">
        <w:t>Bazuar në nenin 24/1 të ligjit nr. 119/2014 “Për të drejtën e informimit” i ndryshuar, “</w:t>
      </w:r>
      <w:r w:rsidRPr="00F03355">
        <w:rPr>
          <w:i/>
        </w:rPr>
        <w:t>Autoritetet publike bashkëpunojnë me Komisionerin duke i siguruar të gjithë informacionin që ai kërkon për përmbushjen e detyrave. Autoritetet publike raportojnë çdo vit, jo më vonë se data 31 e muajit janar të vitit pasardhës, pranë Komisionerit lidhur me veprimtarinë për zbatimin e kërkesave të këtij ligji, sipas formatit të miratuar nga Komisioneri</w:t>
      </w:r>
      <w:r w:rsidRPr="00F03355">
        <w:t xml:space="preserve">”. Ky rregullim i shërben kontrollit që Komisioneri ushtron mbi autoritetet publike, evidentimit të problematikave për zbatimin e ligjit, si dhe rritjes së përgjegjshmërisë së autoriteteve publike. Bashkëpunimi i autoritetit publik me Komisionerin përbën një nga aspektet më të rëndësishme në drejtim të garantimit të së drejtës për informim dhe përmbushjen e qëllimit të ligjit. Zyra e Komisionerit miratoi Urdhrin nr. 209, datë 13.12.2024 “Për Miratimin e Formatit të Raportimit të Autoriteteve Publike për Vitin 2024 “Mbi Zbatimin e Kërkesave të ligjit për të Drejtën e Informimit”. Me qëllim përmbushjen e këtij detyrimi, gjatë muajit janar 2025, Zyra e Komisionerit dërgoi pranë të gjithë koordinatorëve për të drejtën e informimit formularin e raportimit të të dhënave të kërkesave për informacion të marra gjatë vitit 2024. Në fund të procesit, Zyra e Komisionerit u mblodhën 351 raportime nga ana e autoriteteve publike. Të dhënat kryesore të raportimit u publikuan në raportin vjetor të aktivitetit të Zyrës së Komisionerit për vitin 2024. </w:t>
      </w:r>
    </w:p>
    <w:p w:rsidR="00565E32" w:rsidRPr="0050721B" w:rsidRDefault="00565E32" w:rsidP="0050721B">
      <w:pPr>
        <w:spacing w:line="276" w:lineRule="auto"/>
        <w:ind w:right="144"/>
        <w:jc w:val="both"/>
        <w:rPr>
          <w:color w:val="000000" w:themeColor="text1"/>
        </w:rPr>
      </w:pPr>
    </w:p>
    <w:p w:rsidR="0044208F" w:rsidRPr="0050721B" w:rsidRDefault="00565E32" w:rsidP="0050721B">
      <w:pPr>
        <w:spacing w:line="276" w:lineRule="auto"/>
        <w:ind w:right="144"/>
        <w:jc w:val="both"/>
        <w:rPr>
          <w:color w:val="0D0D0D" w:themeColor="text1" w:themeTint="F2"/>
        </w:rPr>
      </w:pPr>
      <w:r w:rsidRPr="00F03355">
        <w:rPr>
          <w:color w:val="0D0D0D" w:themeColor="text1" w:themeTint="F2"/>
        </w:rPr>
        <w:t xml:space="preserve">Gjatë 8 mujorit të parë të vitit 2025, Zyra e Komisionerit ka monitoruar 355 autoritete publike qendrore dhe të varësisë në lidhje me përditësimin e regjistrit të kërkesave dhe përgjigjeve bazuar në Urdhrin nr. 188, datë 18.12.2020 “Për miratimin e Regjistrit të Kërkesave dhe Përgjigjeve të Rishikuar”, i ndryshuar, </w:t>
      </w:r>
      <w:r w:rsidR="0044208F" w:rsidRPr="00F03355">
        <w:rPr>
          <w:color w:val="0D0D0D" w:themeColor="text1" w:themeTint="F2"/>
        </w:rPr>
        <w:t xml:space="preserve">ndërsa </w:t>
      </w:r>
      <w:r w:rsidRPr="00F03355">
        <w:rPr>
          <w:color w:val="0D0D0D" w:themeColor="text1" w:themeTint="F2"/>
        </w:rPr>
        <w:t xml:space="preserve">vijon </w:t>
      </w:r>
      <w:r w:rsidR="0044208F" w:rsidRPr="00F03355">
        <w:rPr>
          <w:color w:val="0D0D0D" w:themeColor="text1" w:themeTint="F2"/>
        </w:rPr>
        <w:t xml:space="preserve"> komunikuar  me të gjithë koordinatorët për të drejtën e informimit lidhur me përmbushjen e detyrimit për mbajtjen dhe përditësimin e regjistri</w:t>
      </w:r>
      <w:r w:rsidR="001B3B9C" w:rsidRPr="00F03355">
        <w:rPr>
          <w:color w:val="0D0D0D" w:themeColor="text1" w:themeTint="F2"/>
        </w:rPr>
        <w:t xml:space="preserve">t (REKPDI). </w:t>
      </w:r>
      <w:r w:rsidR="0044208F" w:rsidRPr="00F03355">
        <w:rPr>
          <w:color w:val="0D0D0D" w:themeColor="text1" w:themeTint="F2"/>
        </w:rPr>
        <w:t>Janë nxjerrë problematikat dhe situatat në të cilat ndodhet çdo autoritet publik me qëllim marrjen e masave dhe ndërgjegjësimin e koordinatorëve për përmbushjen e këtij detyrimi ligjor, parashikuar në nenin 8 të LDI</w:t>
      </w:r>
      <w:r w:rsidR="0044208F" w:rsidRPr="0050721B">
        <w:rPr>
          <w:color w:val="0D0D0D" w:themeColor="text1" w:themeTint="F2"/>
        </w:rPr>
        <w:t xml:space="preserve">. </w:t>
      </w:r>
      <w:r w:rsidR="001B3B9C" w:rsidRPr="0050721B">
        <w:rPr>
          <w:color w:val="0D0D0D" w:themeColor="text1" w:themeTint="F2"/>
        </w:rPr>
        <w:t xml:space="preserve"> </w:t>
      </w:r>
    </w:p>
    <w:p w:rsidR="00565E32" w:rsidRPr="0050721B" w:rsidRDefault="00565E32" w:rsidP="0050721B">
      <w:pPr>
        <w:spacing w:line="276" w:lineRule="auto"/>
        <w:jc w:val="both"/>
        <w:rPr>
          <w:color w:val="0D0D0D" w:themeColor="text1" w:themeTint="F2"/>
        </w:rPr>
      </w:pPr>
    </w:p>
    <w:p w:rsidR="00565E32" w:rsidRPr="0050721B" w:rsidRDefault="001B3B9C" w:rsidP="0050721B">
      <w:pPr>
        <w:spacing w:line="276" w:lineRule="auto"/>
        <w:ind w:right="144"/>
        <w:jc w:val="both"/>
        <w:rPr>
          <w:color w:val="0D0D0D" w:themeColor="text1" w:themeTint="F2"/>
        </w:rPr>
      </w:pPr>
      <w:r w:rsidRPr="0050721B">
        <w:rPr>
          <w:color w:val="0D0D0D" w:themeColor="text1" w:themeTint="F2"/>
        </w:rPr>
        <w:t>Ka një qasje të re gjatë vitit 2025, ku Zyra e Komisi</w:t>
      </w:r>
      <w:r w:rsidR="002723A7">
        <w:rPr>
          <w:color w:val="0D0D0D" w:themeColor="text1" w:themeTint="F2"/>
        </w:rPr>
        <w:t xml:space="preserve">onerit ka hartuar dhe miratuar me </w:t>
      </w:r>
      <w:r w:rsidR="001B50E5" w:rsidRPr="0050721B">
        <w:rPr>
          <w:color w:val="0D0D0D" w:themeColor="text1" w:themeTint="F2"/>
        </w:rPr>
        <w:t>shkresë</w:t>
      </w:r>
      <w:r w:rsidRPr="0050721B">
        <w:rPr>
          <w:color w:val="0D0D0D" w:themeColor="text1" w:themeTint="F2"/>
        </w:rPr>
        <w:t>n nr.</w:t>
      </w:r>
      <w:r w:rsidR="001B50E5" w:rsidRPr="0050721B">
        <w:rPr>
          <w:color w:val="0D0D0D" w:themeColor="text1" w:themeTint="F2"/>
        </w:rPr>
        <w:t xml:space="preserve">974 prot., datë 13.03.2025 “Planin e monitorimit dhe mbikëqyrjes së transparencës proaktive për vitin 2025”. </w:t>
      </w:r>
      <w:r w:rsidR="00565E32" w:rsidRPr="0050721B">
        <w:rPr>
          <w:color w:val="0D0D0D" w:themeColor="text1" w:themeTint="F2"/>
        </w:rPr>
        <w:t xml:space="preserve"> Bazuar në këtë plan, u monitoruan 41 autoritete </w:t>
      </w:r>
      <w:r w:rsidR="00565E32" w:rsidRPr="0050721B">
        <w:rPr>
          <w:color w:val="0D0D0D" w:themeColor="text1" w:themeTint="F2"/>
        </w:rPr>
        <w:lastRenderedPageBreak/>
        <w:t>publike lidhur me verifikimin e përmbushjes së detyrimeve, duke u mbështetur në të dhënat e dy indekseve: “Indeksi i Transparencës Proaktive i Autoriteteve Qendrore dhe të Varura Publike” dhe “Indeksi i Transparencës Proaktive për Njësitë e Vetëqeverisjes Vendore” për vitin 2024, konkretisht për ato autoritete që ishin klasifikuar deri në 6 pikë (të kategorizuara si me transparencë proaktive “të ulët” ose “të pamjaftueshme”).</w:t>
      </w:r>
    </w:p>
    <w:p w:rsidR="00565E32" w:rsidRPr="0050721B" w:rsidRDefault="00565E32" w:rsidP="0050721B">
      <w:pPr>
        <w:spacing w:line="276" w:lineRule="auto"/>
        <w:ind w:right="144"/>
        <w:jc w:val="both"/>
      </w:pPr>
    </w:p>
    <w:p w:rsidR="00565E32" w:rsidRPr="0050721B" w:rsidRDefault="00565E32" w:rsidP="0050721B">
      <w:pPr>
        <w:spacing w:line="276" w:lineRule="auto"/>
        <w:ind w:right="144"/>
        <w:jc w:val="both"/>
      </w:pPr>
      <w:r w:rsidRPr="0050721B">
        <w:t>Gjithashtu, u monitoruan 25 autoritete publike për verifikimin e përmbushjes së detyrimeve që rridhnin nga 25 rekomandime të miratuara nga Komisioneri gjatë vitit 2024. Në përputhje me planin e sipërcituar, për secilin monitorim u hartua një raport përkatës dhe iu përcoll Komisionerit.</w:t>
      </w:r>
    </w:p>
    <w:p w:rsidR="00565E32" w:rsidRPr="0050721B" w:rsidRDefault="00565E32" w:rsidP="0050721B">
      <w:pPr>
        <w:spacing w:line="276" w:lineRule="auto"/>
        <w:ind w:right="144"/>
        <w:jc w:val="both"/>
      </w:pPr>
    </w:p>
    <w:p w:rsidR="00565E32" w:rsidRPr="0050721B" w:rsidRDefault="00565E32" w:rsidP="0050721B">
      <w:pPr>
        <w:spacing w:line="276" w:lineRule="auto"/>
        <w:ind w:right="144"/>
        <w:jc w:val="both"/>
      </w:pPr>
      <w:r w:rsidRPr="0050721B">
        <w:t>Si rezultat i gjetjeve dhe bazuar në Planin e Monitorimit, gjatë periudhës raportuese janar 2025 – gusht 2025, u zhvilluan 10 hetime administrative lidhur me detyrimin për publikimin dhe përditësimin e informacionit në kuadër të programeve të transparencës së 10 autoriteteve publike.</w:t>
      </w:r>
    </w:p>
    <w:p w:rsidR="00565E32" w:rsidRPr="0050721B" w:rsidRDefault="00565E32" w:rsidP="0050721B">
      <w:pPr>
        <w:spacing w:line="276" w:lineRule="auto"/>
        <w:ind w:right="144"/>
        <w:jc w:val="both"/>
      </w:pPr>
    </w:p>
    <w:p w:rsidR="00565E32" w:rsidRPr="0050721B" w:rsidRDefault="00565E32" w:rsidP="0050721B">
      <w:pPr>
        <w:spacing w:line="276" w:lineRule="auto"/>
        <w:ind w:right="144"/>
        <w:jc w:val="both"/>
      </w:pPr>
      <w:r w:rsidRPr="0050721B">
        <w:t xml:space="preserve">Gjithashtu, gjatë kësaj periudhe Zyra e Komisionerit miratoi </w:t>
      </w:r>
      <w:r w:rsidRPr="0050721B">
        <w:rPr>
          <w:u w:val="single"/>
        </w:rPr>
        <w:t>12 rekomandime</w:t>
      </w:r>
      <w:r w:rsidRPr="0050721B">
        <w:t xml:space="preserve"> me synim zbatimin e Ligjit nr. 119/2014 “Për të drejtën e informimit”, i ndryshuar, si dhe rritjen e transparencës proaktive të qendrave spitalore/spitaleve rajonale në mbarë vendin.</w:t>
      </w:r>
    </w:p>
    <w:p w:rsidR="00565E32" w:rsidRPr="0050721B" w:rsidRDefault="00565E32" w:rsidP="0050721B">
      <w:pPr>
        <w:spacing w:line="276" w:lineRule="auto"/>
        <w:jc w:val="both"/>
      </w:pPr>
    </w:p>
    <w:p w:rsidR="00565E32" w:rsidRPr="0050721B" w:rsidRDefault="00565E32" w:rsidP="0050721B">
      <w:pPr>
        <w:spacing w:after="80" w:line="276" w:lineRule="auto"/>
        <w:ind w:right="144"/>
        <w:jc w:val="both"/>
        <w:rPr>
          <w:rFonts w:eastAsia="Calibri"/>
          <w:color w:val="0D0D0D" w:themeColor="text1" w:themeTint="F2"/>
        </w:rPr>
      </w:pPr>
      <w:r w:rsidRPr="0050721B">
        <w:rPr>
          <w:color w:val="0D0D0D" w:themeColor="text1" w:themeTint="F2"/>
        </w:rPr>
        <w:t xml:space="preserve">Në zbatim të ligjit nr. 33/2022 “Për të dhënat e hapura dhe ripërdorimin e informacionit të sektorit publik” për periudhën janar – gusht 2025 </w:t>
      </w:r>
      <w:r w:rsidR="009E5D4B" w:rsidRPr="0050721B">
        <w:rPr>
          <w:color w:val="0D0D0D" w:themeColor="text1" w:themeTint="F2"/>
        </w:rPr>
        <w:t xml:space="preserve"> </w:t>
      </w:r>
      <w:r w:rsidRPr="0050721B">
        <w:rPr>
          <w:color w:val="0D0D0D" w:themeColor="text1" w:themeTint="F2"/>
        </w:rPr>
        <w:t>Zyra e Komisionerit (SDHH) ka bashkëpunuar me organet e sektorit publik për ndërgjegjësimin e tyre për zbatimin e ligjit nr. 33/2022 "Për të dhënat e hapura dhe ripërdorimin e informacionit të sektorit publik" dhe në vijim të punës së në prill janë dërguar 60 shkresa zyrtare drejtuar organeve të sektorit publik, me qëllim publikimin e "Listës së dokumenteve ekzistuese që mund të ofrohen në formatin e të dhënave të hapura".</w:t>
      </w:r>
    </w:p>
    <w:p w:rsidR="00981A9A" w:rsidRPr="0050721B" w:rsidRDefault="009E5D4B" w:rsidP="0050721B">
      <w:pPr>
        <w:spacing w:after="80" w:line="276" w:lineRule="auto"/>
        <w:ind w:right="144"/>
        <w:jc w:val="both"/>
        <w:rPr>
          <w:rFonts w:eastAsia="Calibri"/>
          <w:color w:val="0D0D0D" w:themeColor="text1" w:themeTint="F2"/>
        </w:rPr>
      </w:pPr>
      <w:r w:rsidRPr="0050721B">
        <w:rPr>
          <w:rFonts w:eastAsia="Calibri"/>
          <w:color w:val="0D0D0D" w:themeColor="text1" w:themeTint="F2"/>
        </w:rPr>
        <w:t>Ende nuk ka ende</w:t>
      </w:r>
      <w:r w:rsidR="002723A7">
        <w:rPr>
          <w:rFonts w:eastAsia="Calibri"/>
          <w:color w:val="0D0D0D" w:themeColor="text1" w:themeTint="F2"/>
        </w:rPr>
        <w:t xml:space="preserve"> një tregues të matshëm, pasi </w:t>
      </w:r>
      <w:r w:rsidRPr="0050721B">
        <w:rPr>
          <w:rFonts w:eastAsia="Calibri"/>
          <w:color w:val="0D0D0D" w:themeColor="text1" w:themeTint="F2"/>
        </w:rPr>
        <w:t>zbati</w:t>
      </w:r>
      <w:r w:rsidR="002723A7">
        <w:rPr>
          <w:rFonts w:eastAsia="Calibri"/>
          <w:color w:val="0D0D0D" w:themeColor="text1" w:themeTint="F2"/>
        </w:rPr>
        <w:t xml:space="preserve">mi </w:t>
      </w:r>
      <w:r w:rsidRPr="0050721B">
        <w:rPr>
          <w:rFonts w:eastAsia="Calibri"/>
          <w:color w:val="0D0D0D" w:themeColor="text1" w:themeTint="F2"/>
        </w:rPr>
        <w:t>i këtij legjislacioni si prioritet parësor ka jo vetëm har</w:t>
      </w:r>
      <w:r w:rsidR="002723A7">
        <w:rPr>
          <w:rFonts w:eastAsia="Calibri"/>
          <w:color w:val="0D0D0D" w:themeColor="text1" w:themeTint="F2"/>
        </w:rPr>
        <w:t xml:space="preserve">timin e akteve nënligjore por edhe asistencën e </w:t>
      </w:r>
      <w:r w:rsidRPr="0050721B">
        <w:rPr>
          <w:rFonts w:eastAsia="Calibri"/>
          <w:color w:val="0D0D0D" w:themeColor="text1" w:themeTint="F2"/>
        </w:rPr>
        <w:t>vazhdueshme nga ana e Sektorit për të Dhënat e Hapura dhe Konsultimin Publik, nd</w:t>
      </w:r>
      <w:r w:rsidR="002723A7">
        <w:rPr>
          <w:rFonts w:eastAsia="Calibri"/>
          <w:color w:val="0D0D0D" w:themeColor="text1" w:themeTint="F2"/>
        </w:rPr>
        <w:t>aj organeve të sektorit publik,</w:t>
      </w:r>
      <w:r w:rsidRPr="0050721B">
        <w:rPr>
          <w:rFonts w:eastAsia="Calibri"/>
          <w:color w:val="0D0D0D" w:themeColor="text1" w:themeTint="F2"/>
        </w:rPr>
        <w:t xml:space="preserve"> lidhur me implementimin prej tyre të ligjit nr. 33/2022. </w:t>
      </w:r>
    </w:p>
    <w:p w:rsidR="008233D2" w:rsidRPr="0050721B" w:rsidRDefault="008233D2" w:rsidP="0050721B">
      <w:pPr>
        <w:spacing w:line="276" w:lineRule="auto"/>
        <w:jc w:val="both"/>
        <w:rPr>
          <w:color w:val="0D0D0D" w:themeColor="text1" w:themeTint="F2"/>
        </w:rPr>
      </w:pPr>
      <w:r w:rsidRPr="0050721B">
        <w:rPr>
          <w:b/>
          <w:color w:val="0D0D0D" w:themeColor="text1" w:themeTint="F2"/>
        </w:rPr>
        <w:t xml:space="preserve">Nënprodukti B: Janë monitoruar </w:t>
      </w:r>
      <w:r w:rsidR="00177F2A" w:rsidRPr="0050721B">
        <w:rPr>
          <w:color w:val="0D0D0D" w:themeColor="text1" w:themeTint="F2"/>
        </w:rPr>
        <w:t>(</w:t>
      </w:r>
      <w:r w:rsidR="001B3B9C" w:rsidRPr="0050721B">
        <w:rPr>
          <w:color w:val="0D0D0D" w:themeColor="text1" w:themeTint="F2"/>
        </w:rPr>
        <w:t>3</w:t>
      </w:r>
      <w:r w:rsidR="00D81E26" w:rsidRPr="0050721B">
        <w:rPr>
          <w:color w:val="0D0D0D" w:themeColor="text1" w:themeTint="F2"/>
        </w:rPr>
        <w:t xml:space="preserve">67 </w:t>
      </w:r>
      <w:r w:rsidR="001B3B9C" w:rsidRPr="0050721B">
        <w:rPr>
          <w:color w:val="0D0D0D" w:themeColor="text1" w:themeTint="F2"/>
        </w:rPr>
        <w:t xml:space="preserve"> </w:t>
      </w:r>
      <w:r w:rsidR="0087092E" w:rsidRPr="0050721B">
        <w:rPr>
          <w:color w:val="0D0D0D" w:themeColor="text1" w:themeTint="F2"/>
        </w:rPr>
        <w:t xml:space="preserve">AP </w:t>
      </w:r>
      <w:r w:rsidR="00D81E26" w:rsidRPr="0050721B">
        <w:rPr>
          <w:color w:val="0D0D0D" w:themeColor="text1" w:themeTint="F2"/>
        </w:rPr>
        <w:t xml:space="preserve">të monitoruara për regjistër </w:t>
      </w:r>
      <w:r w:rsidR="0087092E" w:rsidRPr="0050721B">
        <w:rPr>
          <w:color w:val="0D0D0D" w:themeColor="text1" w:themeTint="F2"/>
        </w:rPr>
        <w:t xml:space="preserve">+ </w:t>
      </w:r>
      <w:r w:rsidR="00E12845" w:rsidRPr="0050721B">
        <w:rPr>
          <w:color w:val="0D0D0D" w:themeColor="text1" w:themeTint="F2"/>
        </w:rPr>
        <w:t>66</w:t>
      </w:r>
      <w:r w:rsidR="00D81E26" w:rsidRPr="0050721B">
        <w:rPr>
          <w:color w:val="0D0D0D" w:themeColor="text1" w:themeTint="F2"/>
        </w:rPr>
        <w:t xml:space="preserve"> </w:t>
      </w:r>
      <w:r w:rsidR="001B3B9C" w:rsidRPr="0050721B">
        <w:rPr>
          <w:color w:val="0D0D0D" w:themeColor="text1" w:themeTint="F2"/>
        </w:rPr>
        <w:t>të thelluara</w:t>
      </w:r>
      <w:r w:rsidR="00D81E26" w:rsidRPr="0050721B">
        <w:rPr>
          <w:color w:val="0D0D0D" w:themeColor="text1" w:themeTint="F2"/>
        </w:rPr>
        <w:t xml:space="preserve"> me inspektim dhe rekomandim</w:t>
      </w:r>
      <w:r w:rsidR="00177F2A" w:rsidRPr="0050721B">
        <w:rPr>
          <w:color w:val="0D0D0D" w:themeColor="text1" w:themeTint="F2"/>
        </w:rPr>
        <w:t>)</w:t>
      </w:r>
      <w:r w:rsidR="00524DC6" w:rsidRPr="0050721B">
        <w:rPr>
          <w:color w:val="0D0D0D" w:themeColor="text1" w:themeTint="F2"/>
        </w:rPr>
        <w:t xml:space="preserve">, </w:t>
      </w:r>
      <w:r w:rsidR="00D81E26" w:rsidRPr="0050721B">
        <w:rPr>
          <w:color w:val="0D0D0D" w:themeColor="text1" w:themeTint="F2"/>
        </w:rPr>
        <w:t xml:space="preserve">duke plotësuar produktin. </w:t>
      </w:r>
      <w:r w:rsidR="002723A7">
        <w:rPr>
          <w:color w:val="0D0D0D" w:themeColor="text1" w:themeTint="F2"/>
        </w:rPr>
        <w:t xml:space="preserve">Krahasuar me një </w:t>
      </w:r>
      <w:r w:rsidR="006D14FC" w:rsidRPr="0050721B">
        <w:rPr>
          <w:color w:val="0D0D0D" w:themeColor="text1" w:themeTint="F2"/>
        </w:rPr>
        <w:t>vit më parë për të n</w:t>
      </w:r>
      <w:r w:rsidR="002723A7">
        <w:rPr>
          <w:color w:val="0D0D0D" w:themeColor="text1" w:themeTint="F2"/>
        </w:rPr>
        <w:t xml:space="preserve">jëjtën periudhë ka një rritje, </w:t>
      </w:r>
      <w:r w:rsidR="006D14FC" w:rsidRPr="0050721B">
        <w:rPr>
          <w:color w:val="0D0D0D" w:themeColor="text1" w:themeTint="F2"/>
        </w:rPr>
        <w:t xml:space="preserve">pasi dhe nr. i Autoriteteve Publike është rritur. </w:t>
      </w:r>
      <w:r w:rsidR="00D81E26" w:rsidRPr="0050721B">
        <w:rPr>
          <w:color w:val="0D0D0D" w:themeColor="text1" w:themeTint="F2"/>
        </w:rPr>
        <w:t>Autoritetet jan</w:t>
      </w:r>
      <w:r w:rsidR="007671CE" w:rsidRPr="0050721B">
        <w:rPr>
          <w:color w:val="0D0D0D" w:themeColor="text1" w:themeTint="F2"/>
        </w:rPr>
        <w:t>ë</w:t>
      </w:r>
      <w:r w:rsidR="00D81E26" w:rsidRPr="0050721B">
        <w:rPr>
          <w:color w:val="0D0D0D" w:themeColor="text1" w:themeTint="F2"/>
        </w:rPr>
        <w:t xml:space="preserve"> n</w:t>
      </w:r>
      <w:r w:rsidR="007671CE" w:rsidRPr="0050721B">
        <w:rPr>
          <w:color w:val="0D0D0D" w:themeColor="text1" w:themeTint="F2"/>
        </w:rPr>
        <w:t>ë</w:t>
      </w:r>
      <w:r w:rsidR="002723A7">
        <w:rPr>
          <w:color w:val="0D0D0D" w:themeColor="text1" w:themeTint="F2"/>
        </w:rPr>
        <w:t xml:space="preserve"> monitorim të vazhdueshëm</w:t>
      </w:r>
      <w:r w:rsidR="00D81E26" w:rsidRPr="0050721B">
        <w:rPr>
          <w:color w:val="0D0D0D" w:themeColor="text1" w:themeTint="F2"/>
        </w:rPr>
        <w:t xml:space="preserve"> mbi plotësimin e të gjithë elementëve të ligjit nr.119/2014 “Për të drejtën e informimit”, i ndryshuar</w:t>
      </w:r>
    </w:p>
    <w:p w:rsidR="00D81E26" w:rsidRPr="0050721B" w:rsidRDefault="00D81E26" w:rsidP="0050721B">
      <w:pPr>
        <w:spacing w:line="276" w:lineRule="auto"/>
        <w:jc w:val="both"/>
        <w:rPr>
          <w:color w:val="FF0000"/>
        </w:rPr>
      </w:pPr>
    </w:p>
    <w:p w:rsidR="008233D2" w:rsidRPr="0050721B" w:rsidRDefault="008233D2" w:rsidP="0050721B">
      <w:pPr>
        <w:pStyle w:val="ListParagraph"/>
        <w:numPr>
          <w:ilvl w:val="0"/>
          <w:numId w:val="2"/>
        </w:numPr>
        <w:jc w:val="both"/>
        <w:rPr>
          <w:rFonts w:ascii="Times New Roman" w:hAnsi="Times New Roman"/>
          <w:b/>
          <w:sz w:val="24"/>
          <w:szCs w:val="24"/>
        </w:rPr>
      </w:pPr>
      <w:r w:rsidRPr="0050721B">
        <w:rPr>
          <w:rFonts w:ascii="Times New Roman" w:hAnsi="Times New Roman"/>
          <w:b/>
          <w:sz w:val="24"/>
          <w:szCs w:val="24"/>
        </w:rPr>
        <w:t xml:space="preserve">Të tjera aktivitete në funksion të rritjes së transparencës </w:t>
      </w:r>
    </w:p>
    <w:p w:rsidR="008233D2" w:rsidRPr="0050721B" w:rsidRDefault="008233D2" w:rsidP="0050721B">
      <w:pPr>
        <w:pStyle w:val="ListParagraph"/>
        <w:jc w:val="both"/>
        <w:rPr>
          <w:rFonts w:ascii="Times New Roman" w:hAnsi="Times New Roman"/>
          <w:b/>
          <w:color w:val="0D0D0D" w:themeColor="text1" w:themeTint="F2"/>
          <w:sz w:val="24"/>
          <w:szCs w:val="24"/>
        </w:rPr>
      </w:pPr>
    </w:p>
    <w:p w:rsidR="008233D2" w:rsidRPr="0050721B" w:rsidRDefault="008233D2" w:rsidP="0050721B">
      <w:pPr>
        <w:pStyle w:val="ListParagraph"/>
        <w:numPr>
          <w:ilvl w:val="0"/>
          <w:numId w:val="7"/>
        </w:numPr>
        <w:jc w:val="both"/>
        <w:rPr>
          <w:rFonts w:ascii="Times New Roman" w:hAnsi="Times New Roman"/>
          <w:b/>
          <w:color w:val="0D0D0D" w:themeColor="text1" w:themeTint="F2"/>
          <w:sz w:val="24"/>
          <w:szCs w:val="24"/>
        </w:rPr>
      </w:pPr>
      <w:r w:rsidRPr="0050721B">
        <w:rPr>
          <w:rFonts w:ascii="Times New Roman" w:hAnsi="Times New Roman"/>
          <w:b/>
          <w:color w:val="0D0D0D" w:themeColor="text1" w:themeTint="F2"/>
          <w:sz w:val="24"/>
          <w:szCs w:val="24"/>
        </w:rPr>
        <w:t xml:space="preserve">Kërkesa nëpërmjet regjistrit </w:t>
      </w:r>
    </w:p>
    <w:p w:rsidR="00565E32" w:rsidRPr="0050721B" w:rsidRDefault="00565E32" w:rsidP="0050721B">
      <w:pPr>
        <w:spacing w:line="276" w:lineRule="auto"/>
        <w:ind w:right="144"/>
        <w:jc w:val="both"/>
        <w:rPr>
          <w:color w:val="000000" w:themeColor="text1"/>
        </w:rPr>
      </w:pPr>
      <w:r w:rsidRPr="0050721B">
        <w:rPr>
          <w:color w:val="000000" w:themeColor="text1"/>
        </w:rPr>
        <w:t xml:space="preserve">Me qëllim zbatimin e detyrimeve, që burojnë nga LDI, si dhe duke synuar bërjen sa më efektive të së drejtës për informim si një e drejtë kushtetuese dhe një mjet për garantimin e llogaridhënies së autoriteteve publike, Zyra e Komisionerit ka ngritur “Regjistrin elektronik të kërkesave dhe përgjigjeve për të drejtën e informimit” (REKPDI), </w:t>
      </w:r>
      <w:r w:rsidRPr="0050721B">
        <w:rPr>
          <w:color w:val="000000" w:themeColor="text1"/>
        </w:rPr>
        <w:lastRenderedPageBreak/>
        <w:t xml:space="preserve">parashikuar në nenin 8 të LDI. Regjistri elektronik i kërkesave dhe përgjigjeve për 8 -mujorin e parë të vitit 2025 është instaluar </w:t>
      </w:r>
      <w:r w:rsidRPr="0050721B">
        <w:rPr>
          <w:b/>
          <w:color w:val="000000" w:themeColor="text1"/>
        </w:rPr>
        <w:t xml:space="preserve">në </w:t>
      </w:r>
      <w:r w:rsidRPr="0050721B">
        <w:rPr>
          <w:b/>
        </w:rPr>
        <w:t>25 autoritete publike</w:t>
      </w:r>
      <w:r w:rsidRPr="0050721B">
        <w:t xml:space="preserve">, duke e çuar në </w:t>
      </w:r>
      <w:r w:rsidRPr="0050721B">
        <w:rPr>
          <w:b/>
        </w:rPr>
        <w:t xml:space="preserve">272 </w:t>
      </w:r>
      <w:r w:rsidRPr="0050721B">
        <w:rPr>
          <w:b/>
          <w:color w:val="000000" w:themeColor="text1"/>
        </w:rPr>
        <w:t>numrin total të autoriteteve që kanë instaluar regjistrin elektronik</w:t>
      </w:r>
      <w:r w:rsidRPr="0050721B">
        <w:rPr>
          <w:color w:val="000000" w:themeColor="text1"/>
        </w:rPr>
        <w:t>. Koordinatorët e këtyre 25 autoriteteve janë trajnuar në dy trajnime të posaçme nga Zyra e Komisionerit, lidhur me mënyrën e funksionimit të REKP-i, por edhe me detyrimet ligjore që burojnë nga LDI.</w:t>
      </w:r>
    </w:p>
    <w:p w:rsidR="00565E32" w:rsidRPr="0050721B" w:rsidRDefault="00565E32" w:rsidP="0050721B">
      <w:pPr>
        <w:spacing w:line="276" w:lineRule="auto"/>
        <w:ind w:right="144"/>
        <w:jc w:val="both"/>
        <w:rPr>
          <w:color w:val="FF0000"/>
        </w:rPr>
      </w:pPr>
    </w:p>
    <w:p w:rsidR="008233D2" w:rsidRPr="0050721B" w:rsidRDefault="008233D2" w:rsidP="0050721B">
      <w:pPr>
        <w:pStyle w:val="ListParagraph"/>
        <w:numPr>
          <w:ilvl w:val="0"/>
          <w:numId w:val="7"/>
        </w:numPr>
        <w:jc w:val="both"/>
        <w:rPr>
          <w:rFonts w:ascii="Times New Roman" w:hAnsi="Times New Roman"/>
          <w:b/>
          <w:color w:val="0D0D0D"/>
          <w:sz w:val="24"/>
          <w:szCs w:val="24"/>
        </w:rPr>
      </w:pPr>
      <w:r w:rsidRPr="0050721B">
        <w:rPr>
          <w:rFonts w:ascii="Times New Roman" w:hAnsi="Times New Roman"/>
          <w:b/>
          <w:color w:val="0D0D0D"/>
          <w:sz w:val="24"/>
          <w:szCs w:val="24"/>
        </w:rPr>
        <w:t xml:space="preserve">Aktivitete të tjera mbështetëse. </w:t>
      </w:r>
    </w:p>
    <w:p w:rsidR="00816162" w:rsidRPr="0050721B" w:rsidRDefault="00816162" w:rsidP="0050721B">
      <w:pPr>
        <w:tabs>
          <w:tab w:val="left" w:pos="9180"/>
        </w:tabs>
        <w:spacing w:line="276" w:lineRule="auto"/>
        <w:jc w:val="both"/>
      </w:pPr>
      <w:r w:rsidRPr="0050721B">
        <w:t xml:space="preserve">Zyra e Komisionerit ka përmbushur raportimin vjetor në Strategjinë Ndërsektoriale Kundër Korrupsionit 2024-2030, si dhe raportimet për progresin e “Udhërrëfyesit për Reformën në Administratën Publike”, </w:t>
      </w:r>
      <w:r w:rsidRPr="0050721B">
        <w:rPr>
          <w:shd w:val="clear" w:color="auto" w:fill="FFFFFF"/>
        </w:rPr>
        <w:t>në</w:t>
      </w:r>
      <w:r w:rsidRPr="0050721B">
        <w:rPr>
          <w:spacing w:val="-2"/>
          <w:shd w:val="clear" w:color="auto" w:fill="FFFFFF"/>
        </w:rPr>
        <w:t> </w:t>
      </w:r>
      <w:r w:rsidRPr="0050721B">
        <w:rPr>
          <w:shd w:val="clear" w:color="auto" w:fill="FFFFFF"/>
        </w:rPr>
        <w:t xml:space="preserve">Paketën e Semestrit të Integrimit Evropian (PSIE) për vitin 2025, për Kapitullin 10 si dhe </w:t>
      </w:r>
      <w:r w:rsidRPr="0050721B">
        <w:rPr>
          <w14:ligatures w14:val="standardContextual"/>
        </w:rPr>
        <w:t>hartimin e Pozicionit Negociues për Clusterin 3,</w:t>
      </w:r>
      <w:r w:rsidRPr="0050721B">
        <w:t xml:space="preserve"> </w:t>
      </w:r>
      <w:r w:rsidRPr="0050721B">
        <w:rPr>
          <w14:ligatures w14:val="standardContextual"/>
        </w:rPr>
        <w:t>pjesë e të cilit është edhe Kapitulli 10</w:t>
      </w:r>
      <w:r w:rsidRPr="0050721B">
        <w:t>. Gjithashtu, është dhënë kontribut mbi komponentët e asistencës teknike të përfituar në kuadër të IPA Good Governance 2020 “Për mirëqeverisjen”.</w:t>
      </w:r>
    </w:p>
    <w:p w:rsidR="009E5D4B" w:rsidRPr="0050721B" w:rsidRDefault="009E5D4B" w:rsidP="0050721B">
      <w:pPr>
        <w:tabs>
          <w:tab w:val="left" w:pos="9180"/>
        </w:tabs>
        <w:spacing w:line="276" w:lineRule="auto"/>
        <w:jc w:val="both"/>
      </w:pPr>
      <w:r w:rsidRPr="0050721B">
        <w:t xml:space="preserve"> </w:t>
      </w:r>
    </w:p>
    <w:p w:rsidR="009E5D4B" w:rsidRPr="0050721B" w:rsidRDefault="009E5D4B" w:rsidP="0050721B">
      <w:pPr>
        <w:spacing w:line="276" w:lineRule="auto"/>
        <w:jc w:val="both"/>
      </w:pPr>
      <w:r w:rsidRPr="0050721B">
        <w:t xml:space="preserve">Në zbatim të nenit 17 të ligjit nr. 33/2022 “Për të dhënat e hapura dhe ripërdorimin e informacionit të sektorit publik”, Autoriteti Shtetëror për Informacionin Gjeohapësinor i cili është institucioni përgjegjës për kategorinë e të dhënave me vlerë të madhe “Gjeohapësinore” dhe “Mjedisore dhe vëzhgimit të tokës” ka përgatitur dhe dërguar për mendim pranë Zyrës së Komisionerit draft Udhëzuesin “Për përcaktimin e grupeve specifikë të të dhënave me vlerë të madhe në fushat “gjeohapësinore” dhe “mjedisore dhe vëzhgimit të tokës”. </w:t>
      </w:r>
    </w:p>
    <w:p w:rsidR="009E5D4B" w:rsidRPr="0050721B" w:rsidRDefault="009E5D4B" w:rsidP="0050721B">
      <w:pPr>
        <w:spacing w:line="276" w:lineRule="auto"/>
        <w:jc w:val="both"/>
      </w:pPr>
      <w:r w:rsidRPr="0050721B">
        <w:t>Pas dërgimit të kontributit të Zyrës së Komisionërit (SDHH), është miratuar nga ASIG Udhëzimi “Për përcaktimin e grupeve specifikë të të dhënave me vlerë të madhe në fushat “gjeohapësinore” dhe “mjedisore dhe vëzhgimit të tokës”, datë 28.05.2025.</w:t>
      </w:r>
    </w:p>
    <w:p w:rsidR="009E5D4B" w:rsidRPr="0050721B" w:rsidRDefault="009E5D4B" w:rsidP="0050721B">
      <w:pPr>
        <w:spacing w:line="276" w:lineRule="auto"/>
        <w:jc w:val="both"/>
      </w:pPr>
      <w:r w:rsidRPr="0050721B">
        <w:t>Ky akt vjen në përafrim me Rregulloren zbatuese të Komisionit Evropian 2023/138/BE, të datës 21 dhjetor 2022, që përcakton një listë të grupeve specifike të të dhënave me vlerë të madhe dhe masat për publikimin dhe ripërdorimin e tyre.</w:t>
      </w:r>
    </w:p>
    <w:p w:rsidR="009E5D4B" w:rsidRPr="0050721B" w:rsidRDefault="009E5D4B" w:rsidP="0050721B">
      <w:pPr>
        <w:tabs>
          <w:tab w:val="left" w:pos="9180"/>
        </w:tabs>
        <w:spacing w:line="276" w:lineRule="auto"/>
        <w:jc w:val="both"/>
      </w:pPr>
    </w:p>
    <w:p w:rsidR="00816162" w:rsidRPr="0050721B" w:rsidRDefault="00816162" w:rsidP="0050721B">
      <w:pPr>
        <w:tabs>
          <w:tab w:val="left" w:pos="9180"/>
        </w:tabs>
        <w:spacing w:line="276" w:lineRule="auto"/>
        <w:jc w:val="both"/>
      </w:pPr>
      <w:r w:rsidRPr="0050721B">
        <w:t xml:space="preserve">Gjatë periudhës janar-shkurt 2025 Zyra e Komisionerit ka realizuar me sukses bashkëpunimin me projektin "Bashkimi Evropian për Qeverisjen e Mirë", Komponenti 4, me qëllim forcimin e kapaciteteve institucionale, konkretisht mbi implementimin e ligjit nr. </w:t>
      </w:r>
      <w:bookmarkStart w:id="0" w:name="_Hlk192755274"/>
      <w:r w:rsidRPr="0050721B">
        <w:t>33/2022 "</w:t>
      </w:r>
      <w:r w:rsidRPr="0050721B">
        <w:rPr>
          <w:i/>
          <w:iCs/>
        </w:rPr>
        <w:t>Për të dhëna të hapura dhe ripërdorimin e informacionit nga sektori publik"</w:t>
      </w:r>
      <w:bookmarkEnd w:id="0"/>
      <w:r w:rsidRPr="0050721B">
        <w:t>. Si pjesë e Komponentit të 4-t të këtij projekti, është edhe realizimi i manualit informues për të dhënat e hapura dhe ripërdorimin e tyre.</w:t>
      </w:r>
    </w:p>
    <w:p w:rsidR="009E5D4B" w:rsidRPr="0050721B" w:rsidRDefault="001C0D0B" w:rsidP="002723A7">
      <w:pPr>
        <w:spacing w:line="276" w:lineRule="auto"/>
        <w:jc w:val="both"/>
      </w:pPr>
      <w:r w:rsidRPr="0050721B">
        <w:t xml:space="preserve">Për periudhën janar – </w:t>
      </w:r>
      <w:r w:rsidR="009E5D4B" w:rsidRPr="0050721B">
        <w:t xml:space="preserve">Gusht  </w:t>
      </w:r>
      <w:r w:rsidRPr="0050721B">
        <w:t>2025, Zyra e Komisionerit ka marrë pjesë dhe organizuar shumë takime e trajnime, përfa</w:t>
      </w:r>
      <w:r w:rsidR="002723A7">
        <w:t xml:space="preserve">qësime brenda e jashtë vendit, </w:t>
      </w:r>
      <w:r w:rsidRPr="0050721B">
        <w:t>me përfaqësues të organizatave të shoqërisë civile dhe medias investigative, bas</w:t>
      </w:r>
      <w:r w:rsidR="002723A7">
        <w:t xml:space="preserve">hkëpunimin dhe përfaqësimin në </w:t>
      </w:r>
      <w:r w:rsidRPr="0050721B">
        <w:t>kuadër të shum</w:t>
      </w:r>
      <w:r w:rsidR="002723A7">
        <w:t>ë projekteve, të organizuara, me fokus</w:t>
      </w:r>
      <w:r w:rsidRPr="0050721B">
        <w:t xml:space="preserve"> shtimin e përpjekjeve për konsolidimin e kulturës së llogaridhënies dhe transparencës së autoriteteve publike. </w:t>
      </w:r>
    </w:p>
    <w:p w:rsidR="00EA61A3" w:rsidRPr="0050721B" w:rsidRDefault="009E5D4B" w:rsidP="0050721B">
      <w:pPr>
        <w:spacing w:line="276" w:lineRule="auto"/>
        <w:jc w:val="both"/>
      </w:pPr>
      <w:r w:rsidRPr="0050721B">
        <w:t>P</w:t>
      </w:r>
      <w:r w:rsidR="002723A7">
        <w:t>ër periudhë</w:t>
      </w:r>
      <w:r w:rsidRPr="0050721B">
        <w:t>n nga raportimi i mëparshëm, në kuadër të procesit të ndërgjegjësimit të organeve të sektorit p</w:t>
      </w:r>
      <w:r w:rsidR="002723A7">
        <w:t xml:space="preserve">ublik, në muajin qershor 2025, </w:t>
      </w:r>
      <w:r w:rsidRPr="0050721B">
        <w:t xml:space="preserve">është miratuar Misioni i ekspertëve TAIEX, me objekt “Zbatimi dhe implementimi i ligjit për të dhënat e hapura” si nga stafi </w:t>
      </w:r>
      <w:r w:rsidRPr="0050721B">
        <w:lastRenderedPageBreak/>
        <w:t>i Zyrës së Komisionerit ashtu  nga organet e sektorit publik dhe sipërmarrjet publike, per te cilen eshte vendosur zhvillimi i trajnimi</w:t>
      </w:r>
      <w:r w:rsidR="002723A7">
        <w:t>t 3-ditor. Ky aktivitet do të</w:t>
      </w:r>
      <w:r w:rsidRPr="0050721B">
        <w:t>raportohet në raportimin e radhës</w:t>
      </w:r>
      <w:r w:rsidR="00EA61A3" w:rsidRPr="0050721B">
        <w:t>.</w:t>
      </w:r>
    </w:p>
    <w:p w:rsidR="00EA61A3" w:rsidRPr="0050721B" w:rsidRDefault="00EA61A3" w:rsidP="0050721B">
      <w:pPr>
        <w:spacing w:line="276" w:lineRule="auto"/>
        <w:jc w:val="both"/>
      </w:pPr>
      <w:r w:rsidRPr="0050721B">
        <w:t xml:space="preserve">Në dhjetor 2024, Zyrës së Komisionerit për të Drejtën e Informimit dhe Mbrojtjen e të Dhënave Personale iu ngarkua nga Komiteti Ekzekutiv detyra e Presidencës dhe Sekretariatit të Përkohshëm të ICIC. Detyrë kjo që u ushtrua me përgjegjësi nga ana Zyra e Komisionerit duke organizuar dhe drejtuar punën me organizimin, planifikimin </w:t>
      </w:r>
      <w:r w:rsidR="002723A7">
        <w:t xml:space="preserve">dhe përgatitjen e agjendave të </w:t>
      </w:r>
      <w:r w:rsidRPr="0050721B">
        <w:t>ta</w:t>
      </w:r>
      <w:r w:rsidR="002723A7">
        <w:t xml:space="preserve">kimeve të Komitetit Ekzekutiv </w:t>
      </w:r>
      <w:r w:rsidRPr="0050721B">
        <w:t xml:space="preserve">Komitetit të Planifikimit për edicionin e Konferencës së Berlinit. </w:t>
      </w:r>
    </w:p>
    <w:p w:rsidR="00EA61A3" w:rsidRPr="0050721B" w:rsidRDefault="00EA61A3" w:rsidP="0050721B">
      <w:pPr>
        <w:spacing w:line="276" w:lineRule="auto"/>
        <w:jc w:val="both"/>
      </w:pPr>
      <w:r w:rsidRPr="0050721B">
        <w:t>Zgjedhja e Shqipërisë në krye të ICIC konfirmon rolin në rritje të vendit tonë në arenën ndërkombëtare, si dhe konsolidimin e transparencës dhe qeverisjes së mirë.</w:t>
      </w:r>
    </w:p>
    <w:p w:rsidR="00EA61A3" w:rsidRPr="0050721B" w:rsidRDefault="00EA61A3" w:rsidP="0050721B">
      <w:pPr>
        <w:spacing w:line="276" w:lineRule="auto"/>
        <w:jc w:val="both"/>
      </w:pPr>
      <w:r w:rsidRPr="0050721B">
        <w:t>Në maj 2025, Zyra e Komisionerit organizoi një tjetër trajnim online për koordinatorët e sapoemëruar për të drejtën e informimit nga 45 autoritete publike. Trajnimi u fokusua në ndryshimet në Ligjin për të Drejtën e Informimit dhe zhvillimet e reja që ato sollën, si dhe në aplikimin praktik të rasteve konkrete. Koordinatorët e rinj u trajnuan mbi detyrime të veçanta që lidhen me publikimin/përditësimin e regjistrit të kërkesave dhe përgjigjeve dhe mbi përdorimin e Regjistrit Elektronik përmes portalit *pyetshtetin.al.</w:t>
      </w:r>
    </w:p>
    <w:p w:rsidR="006A4608" w:rsidRPr="0050721B" w:rsidRDefault="001C0D0B" w:rsidP="0050721B">
      <w:pPr>
        <w:spacing w:line="276" w:lineRule="auto"/>
        <w:jc w:val="both"/>
      </w:pPr>
      <w:r w:rsidRPr="0050721B">
        <w:t>Të gjitha pjesëmarrjet në  aktivit</w:t>
      </w:r>
      <w:r w:rsidR="002723A7">
        <w:t xml:space="preserve">etet kombëtare e ndërkombëtare </w:t>
      </w:r>
      <w:r w:rsidR="00A017C8" w:rsidRPr="0050721B">
        <w:t xml:space="preserve">do ti gjeni të </w:t>
      </w:r>
      <w:r w:rsidRPr="0050721B">
        <w:t xml:space="preserve"> publikuara </w:t>
      </w:r>
      <w:r w:rsidR="00A017C8" w:rsidRPr="0050721B">
        <w:t xml:space="preserve">në faqen zyrtare </w:t>
      </w:r>
      <w:r w:rsidR="00D3657C">
        <w:fldChar w:fldCharType="begin"/>
      </w:r>
      <w:r w:rsidR="00D3657C">
        <w:instrText xml:space="preserve"> HYPERLINK "http://www.idp.al" </w:instrText>
      </w:r>
      <w:r w:rsidR="00D3657C">
        <w:fldChar w:fldCharType="separate"/>
      </w:r>
      <w:r w:rsidR="00A017C8" w:rsidRPr="0050721B">
        <w:rPr>
          <w:rStyle w:val="Hyperlink"/>
        </w:rPr>
        <w:t>www.idp.al</w:t>
      </w:r>
      <w:r w:rsidR="00D3657C">
        <w:rPr>
          <w:rStyle w:val="Hyperlink"/>
        </w:rPr>
        <w:fldChar w:fldCharType="end"/>
      </w:r>
      <w:r w:rsidR="00A017C8" w:rsidRPr="0050721B">
        <w:t xml:space="preserve"> </w:t>
      </w:r>
    </w:p>
    <w:p w:rsidR="002723A7" w:rsidRPr="0050721B" w:rsidRDefault="002723A7" w:rsidP="0050721B">
      <w:pPr>
        <w:spacing w:line="276" w:lineRule="auto"/>
        <w:jc w:val="both"/>
      </w:pPr>
    </w:p>
    <w:p w:rsidR="008233D2" w:rsidRPr="0050721B" w:rsidRDefault="008233D2" w:rsidP="0050721B">
      <w:pPr>
        <w:spacing w:line="276" w:lineRule="auto"/>
        <w:jc w:val="both"/>
        <w:rPr>
          <w:b/>
        </w:rPr>
      </w:pPr>
      <w:r w:rsidRPr="0050721B">
        <w:rPr>
          <w:b/>
        </w:rPr>
        <w:t xml:space="preserve">MBROJTJA E TË DHËNAVE PERSONALE </w:t>
      </w:r>
    </w:p>
    <w:p w:rsidR="008233D2" w:rsidRPr="0050721B" w:rsidRDefault="008233D2" w:rsidP="0050721B">
      <w:pPr>
        <w:spacing w:after="40" w:line="276" w:lineRule="auto"/>
        <w:jc w:val="both"/>
        <w:rPr>
          <w:b/>
        </w:rPr>
      </w:pPr>
    </w:p>
    <w:p w:rsidR="008233D2" w:rsidRPr="0050721B" w:rsidRDefault="008233D2" w:rsidP="0050721B">
      <w:pPr>
        <w:pStyle w:val="BodyText"/>
        <w:numPr>
          <w:ilvl w:val="0"/>
          <w:numId w:val="2"/>
        </w:numPr>
        <w:spacing w:after="0" w:line="276" w:lineRule="auto"/>
        <w:jc w:val="both"/>
        <w:rPr>
          <w:b/>
        </w:rPr>
      </w:pPr>
      <w:r w:rsidRPr="0050721B">
        <w:rPr>
          <w:rFonts w:eastAsia="Batang"/>
          <w:b/>
        </w:rPr>
        <w:t xml:space="preserve">Nënprodukti C: </w:t>
      </w:r>
      <w:r w:rsidRPr="0050721B">
        <w:rPr>
          <w:b/>
        </w:rPr>
        <w:t>Mbikëqyrje dhe inspektime, i ndryshu</w:t>
      </w:r>
      <w:r w:rsidR="00C72D7B" w:rsidRPr="0050721B">
        <w:rPr>
          <w:b/>
        </w:rPr>
        <w:t>ar, (Inspektime mbi bazë ankese</w:t>
      </w:r>
      <w:r w:rsidRPr="0050721B">
        <w:rPr>
          <w:b/>
        </w:rPr>
        <w:t xml:space="preserve"> dhe kryesisht +-</w:t>
      </w:r>
      <w:r w:rsidR="009A2208" w:rsidRPr="0050721B">
        <w:rPr>
          <w:b/>
        </w:rPr>
        <w:t>6</w:t>
      </w:r>
      <w:r w:rsidR="00DF06D2" w:rsidRPr="0050721B">
        <w:rPr>
          <w:b/>
        </w:rPr>
        <w:t>0</w:t>
      </w:r>
      <w:r w:rsidRPr="0050721B">
        <w:rPr>
          <w:b/>
        </w:rPr>
        <w:t xml:space="preserve">),  </w:t>
      </w:r>
    </w:p>
    <w:p w:rsidR="008233D2" w:rsidRPr="0050721B" w:rsidRDefault="008233D2" w:rsidP="0050721B">
      <w:pPr>
        <w:pStyle w:val="BodyText"/>
        <w:spacing w:after="0" w:line="276" w:lineRule="auto"/>
        <w:jc w:val="both"/>
        <w:rPr>
          <w:b/>
        </w:rPr>
      </w:pPr>
    </w:p>
    <w:p w:rsidR="00D10D69" w:rsidRPr="0050721B" w:rsidRDefault="00D10D69" w:rsidP="0050721B">
      <w:pPr>
        <w:spacing w:line="276" w:lineRule="auto"/>
        <w:jc w:val="both"/>
      </w:pPr>
      <w:r w:rsidRPr="0050721B">
        <w:rPr>
          <w:bCs/>
        </w:rPr>
        <w:t>Gjatë</w:t>
      </w:r>
      <w:r w:rsidRPr="0050721B">
        <w:t xml:space="preserve"> periudhës raportuese Janar – Gusht 2025, janë zhvilluar </w:t>
      </w:r>
      <w:r w:rsidRPr="0050721B">
        <w:rPr>
          <w:b/>
        </w:rPr>
        <w:t xml:space="preserve">54 </w:t>
      </w:r>
      <w:r w:rsidRPr="0050721B">
        <w:t>hetime administrative në kontrollues publikë dhe privatë, me qëllim verifikimin e përputhshmërisë së</w:t>
      </w:r>
      <w:r w:rsidRPr="0050721B">
        <w:rPr>
          <w:bCs/>
        </w:rPr>
        <w:t xml:space="preserve"> veprimtarisë  së tyre përpunuese </w:t>
      </w:r>
      <w:r w:rsidRPr="0050721B">
        <w:t xml:space="preserve">në raport me legjislacionin për mbrojtjen e të dhënave personale. </w:t>
      </w:r>
    </w:p>
    <w:p w:rsidR="00D10D69" w:rsidRPr="0050721B" w:rsidRDefault="00D10D69" w:rsidP="0050721B">
      <w:pPr>
        <w:spacing w:line="276" w:lineRule="auto"/>
        <w:jc w:val="both"/>
      </w:pPr>
    </w:p>
    <w:p w:rsidR="00D10D69" w:rsidRPr="0050721B" w:rsidRDefault="00D10D69" w:rsidP="0050721B">
      <w:pPr>
        <w:spacing w:line="276" w:lineRule="auto"/>
        <w:jc w:val="both"/>
        <w:rPr>
          <w:color w:val="0D0D0D" w:themeColor="text1" w:themeTint="F2"/>
        </w:rPr>
      </w:pPr>
      <w:r w:rsidRPr="0050721B">
        <w:rPr>
          <w:rFonts w:eastAsia="Calibri"/>
          <w:color w:val="0D0D0D" w:themeColor="text1" w:themeTint="F2"/>
        </w:rPr>
        <w:t xml:space="preserve">Nga këto, </w:t>
      </w:r>
      <w:r w:rsidRPr="0050721B">
        <w:rPr>
          <w:color w:val="0D0D0D" w:themeColor="text1" w:themeTint="F2"/>
        </w:rPr>
        <w:t>janë zhvilluar 7 hetime administrative mbi bazë ankese dhe 47 me iniciativën e Zyrës së Komisionerit (</w:t>
      </w:r>
      <w:r w:rsidRPr="0050721B">
        <w:rPr>
          <w:i/>
          <w:color w:val="0D0D0D" w:themeColor="text1" w:themeTint="F2"/>
        </w:rPr>
        <w:t>ex-officio)</w:t>
      </w:r>
      <w:r w:rsidRPr="0050721B">
        <w:rPr>
          <w:color w:val="0D0D0D" w:themeColor="text1" w:themeTint="F2"/>
        </w:rPr>
        <w:t xml:space="preserve">. Sa i përket sferave të veprimtarisë, 24 procese hetimi administrativ u ndërmorën në kontrollues publikë dhe 30 në kontrollues privatë, </w:t>
      </w:r>
      <w:r w:rsidR="005877A2" w:rsidRPr="0050721B">
        <w:rPr>
          <w:color w:val="0D0D0D" w:themeColor="text1" w:themeTint="F2"/>
          <w:lang w:eastAsia="en-GB"/>
        </w:rPr>
        <w:t>në sektor</w:t>
      </w:r>
      <w:r w:rsidRPr="0050721B">
        <w:rPr>
          <w:color w:val="0D0D0D" w:themeColor="text1" w:themeTint="F2"/>
          <w:lang w:eastAsia="en-GB"/>
        </w:rPr>
        <w:t xml:space="preserve">in </w:t>
      </w:r>
      <w:r w:rsidR="005877A2" w:rsidRPr="0050721B">
        <w:rPr>
          <w:color w:val="0D0D0D" w:themeColor="text1" w:themeTint="F2"/>
          <w:lang w:eastAsia="en-GB"/>
        </w:rPr>
        <w:t xml:space="preserve"> arsimor, shëndetësor, bankar,</w:t>
      </w:r>
      <w:r w:rsidR="005877A2" w:rsidRPr="0050721B">
        <w:rPr>
          <w:b/>
          <w:color w:val="0D0D0D" w:themeColor="text1" w:themeTint="F2"/>
        </w:rPr>
        <w:t xml:space="preserve"> </w:t>
      </w:r>
      <w:r w:rsidRPr="0050721B">
        <w:rPr>
          <w:b/>
          <w:color w:val="0D0D0D" w:themeColor="text1" w:themeTint="F2"/>
        </w:rPr>
        <w:t xml:space="preserve">prokurori apo </w:t>
      </w:r>
      <w:r w:rsidR="005877A2" w:rsidRPr="0050721B">
        <w:rPr>
          <w:color w:val="0D0D0D" w:themeColor="text1" w:themeTint="F2"/>
        </w:rPr>
        <w:t xml:space="preserve">në qendrat dhe organizatat pritëse të viktimave të trafikimit (OJF), Drejtoritë Rajonale të Shërbimit të Provës. </w:t>
      </w:r>
      <w:r w:rsidRPr="0050721B">
        <w:rPr>
          <w:color w:val="0D0D0D" w:themeColor="text1" w:themeTint="F2"/>
        </w:rPr>
        <w:t>Hetimet janë zhvilluar kryesisht në qytetin e Tiranës por edhe në rrethe të tjera si, Korçë, Vlorë, Shkodër, Elbasan, Fier, Gjirokastër etj.</w:t>
      </w:r>
    </w:p>
    <w:p w:rsidR="00D10D69" w:rsidRPr="0050721B" w:rsidRDefault="00D10D69" w:rsidP="0050721B">
      <w:pPr>
        <w:spacing w:after="120" w:line="276" w:lineRule="auto"/>
        <w:jc w:val="both"/>
        <w:rPr>
          <w:rFonts w:eastAsia="Calibri"/>
        </w:rPr>
      </w:pPr>
      <w:r w:rsidRPr="0050721B">
        <w:rPr>
          <w:rFonts w:eastAsia="Calibri"/>
        </w:rPr>
        <w:t xml:space="preserve">Në zbatim të kompetencave që i jep ligji nr. 124/2024 </w:t>
      </w:r>
      <w:r w:rsidRPr="0050721B">
        <w:rPr>
          <w:rFonts w:eastAsia="Calibri"/>
          <w:i/>
        </w:rPr>
        <w:t xml:space="preserve">“Për mbrojtjen e të dhënave personale”,  </w:t>
      </w:r>
      <w:r w:rsidRPr="0050721B">
        <w:rPr>
          <w:rFonts w:eastAsia="Calibri"/>
        </w:rPr>
        <w:t>Komisioneri</w:t>
      </w:r>
      <w:r w:rsidRPr="0050721B">
        <w:rPr>
          <w:rFonts w:eastAsia="Calibri"/>
          <w:i/>
        </w:rPr>
        <w:t xml:space="preserve"> </w:t>
      </w:r>
      <w:r w:rsidRPr="0050721B">
        <w:rPr>
          <w:rFonts w:eastAsia="Calibri"/>
        </w:rPr>
        <w:t>është shprehur me:</w:t>
      </w:r>
    </w:p>
    <w:p w:rsidR="00D10D69" w:rsidRPr="0050721B" w:rsidRDefault="00D10D69" w:rsidP="0050721B">
      <w:pPr>
        <w:pStyle w:val="ListParagraph"/>
        <w:numPr>
          <w:ilvl w:val="0"/>
          <w:numId w:val="6"/>
        </w:numPr>
        <w:spacing w:after="120"/>
        <w:jc w:val="both"/>
        <w:rPr>
          <w:rFonts w:ascii="Times New Roman" w:hAnsi="Times New Roman"/>
          <w:sz w:val="24"/>
          <w:szCs w:val="24"/>
        </w:rPr>
      </w:pPr>
      <w:r w:rsidRPr="0050721B">
        <w:rPr>
          <w:rFonts w:ascii="Times New Roman" w:hAnsi="Times New Roman"/>
          <w:sz w:val="24"/>
          <w:szCs w:val="24"/>
        </w:rPr>
        <w:t>32 Rekomandime;</w:t>
      </w:r>
    </w:p>
    <w:p w:rsidR="00D10D69" w:rsidRPr="0050721B" w:rsidRDefault="00D10D69" w:rsidP="0050721B">
      <w:pPr>
        <w:pStyle w:val="ListParagraph"/>
        <w:numPr>
          <w:ilvl w:val="0"/>
          <w:numId w:val="6"/>
        </w:numPr>
        <w:spacing w:after="120"/>
        <w:jc w:val="both"/>
        <w:rPr>
          <w:rFonts w:ascii="Times New Roman" w:hAnsi="Times New Roman"/>
          <w:sz w:val="24"/>
          <w:szCs w:val="24"/>
        </w:rPr>
      </w:pPr>
      <w:r w:rsidRPr="0050721B">
        <w:rPr>
          <w:rFonts w:ascii="Times New Roman" w:hAnsi="Times New Roman"/>
          <w:sz w:val="24"/>
          <w:szCs w:val="24"/>
        </w:rPr>
        <w:t>1 Urdhër për korrigjimin e të dhënave personale;</w:t>
      </w:r>
    </w:p>
    <w:p w:rsidR="00D10D69" w:rsidRPr="0050721B" w:rsidRDefault="00D10D69" w:rsidP="0050721B">
      <w:pPr>
        <w:pStyle w:val="ListParagraph"/>
        <w:numPr>
          <w:ilvl w:val="0"/>
          <w:numId w:val="6"/>
        </w:numPr>
        <w:spacing w:after="120"/>
        <w:jc w:val="both"/>
        <w:rPr>
          <w:rFonts w:ascii="Times New Roman" w:hAnsi="Times New Roman"/>
          <w:sz w:val="24"/>
          <w:szCs w:val="24"/>
        </w:rPr>
      </w:pPr>
      <w:r w:rsidRPr="0050721B">
        <w:rPr>
          <w:rFonts w:ascii="Times New Roman" w:hAnsi="Times New Roman"/>
          <w:sz w:val="24"/>
          <w:szCs w:val="24"/>
        </w:rPr>
        <w:t>4 Vendime gjobe që korrespondojnë me 12 sanksione administrative;</w:t>
      </w:r>
    </w:p>
    <w:p w:rsidR="00E16DF6" w:rsidRDefault="00D10D69" w:rsidP="0050721B">
      <w:pPr>
        <w:pStyle w:val="ListParagraph"/>
        <w:numPr>
          <w:ilvl w:val="0"/>
          <w:numId w:val="6"/>
        </w:numPr>
        <w:spacing w:after="120"/>
        <w:jc w:val="both"/>
        <w:rPr>
          <w:rFonts w:ascii="Times New Roman" w:hAnsi="Times New Roman"/>
          <w:sz w:val="24"/>
          <w:szCs w:val="24"/>
        </w:rPr>
      </w:pPr>
      <w:r w:rsidRPr="0050721B">
        <w:rPr>
          <w:rFonts w:ascii="Times New Roman" w:hAnsi="Times New Roman"/>
          <w:sz w:val="24"/>
          <w:szCs w:val="24"/>
        </w:rPr>
        <w:t>Janë zhvilluar 35 seanca dëgjimore, pas përfundimit të hetimeve administrative.</w:t>
      </w:r>
    </w:p>
    <w:p w:rsidR="00E76D5D" w:rsidRDefault="00E76D5D" w:rsidP="00E76D5D">
      <w:pPr>
        <w:spacing w:after="120"/>
        <w:jc w:val="both"/>
      </w:pPr>
    </w:p>
    <w:p w:rsidR="00E76D5D" w:rsidRPr="00E76D5D" w:rsidRDefault="00E76D5D" w:rsidP="00E76D5D">
      <w:pPr>
        <w:spacing w:after="120"/>
        <w:jc w:val="both"/>
      </w:pPr>
    </w:p>
    <w:p w:rsidR="00C833D8" w:rsidRPr="0050721B" w:rsidRDefault="00C833D8" w:rsidP="0050721B">
      <w:pPr>
        <w:numPr>
          <w:ilvl w:val="0"/>
          <w:numId w:val="13"/>
        </w:numPr>
        <w:spacing w:before="240" w:line="276" w:lineRule="auto"/>
        <w:contextualSpacing/>
        <w:jc w:val="both"/>
        <w:rPr>
          <w:rFonts w:eastAsia="Batang"/>
          <w:b/>
          <w:color w:val="0D0D0D" w:themeColor="text1" w:themeTint="F2"/>
          <w:lang w:eastAsia="ko-KR"/>
        </w:rPr>
      </w:pPr>
      <w:r w:rsidRPr="0050721B">
        <w:rPr>
          <w:rFonts w:eastAsia="Batang"/>
          <w:b/>
          <w:color w:val="0D0D0D" w:themeColor="text1" w:themeTint="F2"/>
          <w:lang w:eastAsia="ko-KR"/>
        </w:rPr>
        <w:t>Transferimi ndërkombëtar</w:t>
      </w:r>
    </w:p>
    <w:p w:rsidR="00A56658" w:rsidRPr="0050721B" w:rsidRDefault="00A56658" w:rsidP="0050721B">
      <w:pPr>
        <w:spacing w:line="276" w:lineRule="auto"/>
        <w:contextualSpacing/>
        <w:jc w:val="both"/>
        <w:rPr>
          <w:color w:val="0D0D0D" w:themeColor="text1" w:themeTint="F2"/>
        </w:rPr>
      </w:pPr>
    </w:p>
    <w:p w:rsidR="00D10D69" w:rsidRPr="0050721B" w:rsidRDefault="00D10D69" w:rsidP="0050721B">
      <w:pPr>
        <w:spacing w:line="276" w:lineRule="auto"/>
        <w:jc w:val="both"/>
        <w:rPr>
          <w:color w:val="0D0D0D" w:themeColor="text1" w:themeTint="F2"/>
        </w:rPr>
      </w:pPr>
      <w:r w:rsidRPr="0050721B">
        <w:rPr>
          <w:color w:val="0D0D0D" w:themeColor="text1" w:themeTint="F2"/>
        </w:rPr>
        <w:t xml:space="preserve">Zyra e Komisionerit ka trajtuar 9 raste kërkesash për transferim ndërkombëtar të të dhënave personale, drejt vendeve që nuk kanë një nivel adekuat të mbrojtjes së të dhënave. Në çdo rast, kontrollorët janë udhëzuar për zbatimin e plotë të kuadrit rregullator për të garantuar përpunimin e drejtë dhe të ligjshëm të të dhënave personale të individëve, kur kërkohet kryerja e këtij procesi jashtë territorit të Republikës së Shqipërisë. </w:t>
      </w:r>
    </w:p>
    <w:p w:rsidR="00D10D69" w:rsidRPr="0050721B" w:rsidRDefault="00D10D69" w:rsidP="0050721B">
      <w:pPr>
        <w:spacing w:line="276" w:lineRule="auto"/>
        <w:jc w:val="both"/>
        <w:rPr>
          <w:color w:val="0D0D0D" w:themeColor="text1" w:themeTint="F2"/>
        </w:rPr>
      </w:pPr>
      <w:r w:rsidRPr="0050721B">
        <w:rPr>
          <w:color w:val="0D0D0D" w:themeColor="text1" w:themeTint="F2"/>
        </w:rPr>
        <w:t xml:space="preserve">Pas vlerësimit, është dalë me </w:t>
      </w:r>
      <w:r w:rsidRPr="0050721B">
        <w:rPr>
          <w:b/>
          <w:color w:val="0D0D0D" w:themeColor="text1" w:themeTint="F2"/>
        </w:rPr>
        <w:t xml:space="preserve">2 </w:t>
      </w:r>
      <w:r w:rsidRPr="0050721B">
        <w:rPr>
          <w:color w:val="0D0D0D" w:themeColor="text1" w:themeTint="F2"/>
        </w:rPr>
        <w:t xml:space="preserve">vendime për lejimin e transferimit ndërkombëtar në sektorin bankar. </w:t>
      </w:r>
    </w:p>
    <w:p w:rsidR="00C72D7B" w:rsidRPr="0050721B" w:rsidRDefault="008233D2" w:rsidP="0050721B">
      <w:pPr>
        <w:spacing w:line="276" w:lineRule="auto"/>
        <w:jc w:val="both"/>
        <w:rPr>
          <w:color w:val="0D0D0D" w:themeColor="text1" w:themeTint="F2"/>
        </w:rPr>
      </w:pPr>
      <w:r w:rsidRPr="0050721B">
        <w:rPr>
          <w:b/>
          <w:color w:val="0D0D0D" w:themeColor="text1" w:themeTint="F2"/>
        </w:rPr>
        <w:t>Nënprodukti C: (Inspektime mbi baz</w:t>
      </w:r>
      <w:r w:rsidR="00C72D7B" w:rsidRPr="0050721B">
        <w:rPr>
          <w:b/>
          <w:color w:val="0D0D0D" w:themeColor="text1" w:themeTint="F2"/>
        </w:rPr>
        <w:t>ë ankese dhe kryesisht),</w:t>
      </w:r>
      <w:r w:rsidRPr="0050721B">
        <w:rPr>
          <w:b/>
          <w:color w:val="0D0D0D" w:themeColor="text1" w:themeTint="F2"/>
        </w:rPr>
        <w:t xml:space="preserve"> </w:t>
      </w:r>
      <w:r w:rsidRPr="0050721B">
        <w:rPr>
          <w:color w:val="0D0D0D" w:themeColor="text1" w:themeTint="F2"/>
        </w:rPr>
        <w:t>jan</w:t>
      </w:r>
      <w:r w:rsidR="001E432C" w:rsidRPr="0050721B">
        <w:rPr>
          <w:color w:val="0D0D0D" w:themeColor="text1" w:themeTint="F2"/>
        </w:rPr>
        <w:t>ë</w:t>
      </w:r>
      <w:r w:rsidRPr="0050721B">
        <w:rPr>
          <w:color w:val="0D0D0D" w:themeColor="text1" w:themeTint="F2"/>
        </w:rPr>
        <w:t xml:space="preserve"> realizuar </w:t>
      </w:r>
      <w:r w:rsidR="00D10D69" w:rsidRPr="0050721B">
        <w:rPr>
          <w:color w:val="0D0D0D" w:themeColor="text1" w:themeTint="F2"/>
        </w:rPr>
        <w:t>54</w:t>
      </w:r>
      <w:r w:rsidR="00E16DF6" w:rsidRPr="0050721B">
        <w:rPr>
          <w:color w:val="0D0D0D" w:themeColor="text1" w:themeTint="F2"/>
        </w:rPr>
        <w:t xml:space="preserve"> inspektime</w:t>
      </w:r>
      <w:r w:rsidR="002723A7">
        <w:rPr>
          <w:color w:val="0D0D0D" w:themeColor="text1" w:themeTint="F2"/>
        </w:rPr>
        <w:t>,</w:t>
      </w:r>
      <w:r w:rsidRPr="0050721B">
        <w:rPr>
          <w:b/>
          <w:color w:val="0D0D0D" w:themeColor="text1" w:themeTint="F2"/>
        </w:rPr>
        <w:t xml:space="preserve"> </w:t>
      </w:r>
      <w:r w:rsidRPr="0050721B">
        <w:rPr>
          <w:color w:val="0D0D0D" w:themeColor="text1" w:themeTint="F2"/>
        </w:rPr>
        <w:t>pa përfshirë veprime të tjera vendime, rekomandime, sanksione, u</w:t>
      </w:r>
      <w:r w:rsidR="00C72D7B" w:rsidRPr="0050721B">
        <w:rPr>
          <w:color w:val="0D0D0D" w:themeColor="text1" w:themeTint="F2"/>
        </w:rPr>
        <w:t>rdhërime duke realizuar</w:t>
      </w:r>
      <w:r w:rsidR="001E432C" w:rsidRPr="0050721B">
        <w:rPr>
          <w:color w:val="0D0D0D" w:themeColor="text1" w:themeTint="F2"/>
        </w:rPr>
        <w:t xml:space="preserve"> </w:t>
      </w:r>
      <w:r w:rsidR="0050721B" w:rsidRPr="0050721B">
        <w:rPr>
          <w:color w:val="0D0D0D" w:themeColor="text1" w:themeTint="F2"/>
        </w:rPr>
        <w:t xml:space="preserve">rreth </w:t>
      </w:r>
      <w:r w:rsidR="00D10D69" w:rsidRPr="0050721B">
        <w:rPr>
          <w:color w:val="0D0D0D" w:themeColor="text1" w:themeTint="F2"/>
        </w:rPr>
        <w:t xml:space="preserve">90 </w:t>
      </w:r>
      <w:r w:rsidR="002723A7">
        <w:rPr>
          <w:color w:val="0D0D0D" w:themeColor="text1" w:themeTint="F2"/>
        </w:rPr>
        <w:t xml:space="preserve">% </w:t>
      </w:r>
      <w:r w:rsidRPr="0050721B">
        <w:rPr>
          <w:color w:val="0D0D0D" w:themeColor="text1" w:themeTint="F2"/>
        </w:rPr>
        <w:t>të numrit të planifikuar</w:t>
      </w:r>
      <w:r w:rsidR="00D10D69" w:rsidRPr="0050721B">
        <w:rPr>
          <w:color w:val="0D0D0D" w:themeColor="text1" w:themeTint="F2"/>
        </w:rPr>
        <w:t xml:space="preserve"> vjetor. </w:t>
      </w:r>
      <w:r w:rsidR="0050721B" w:rsidRPr="0050721B">
        <w:rPr>
          <w:color w:val="0D0D0D" w:themeColor="text1" w:themeTint="F2"/>
        </w:rPr>
        <w:t xml:space="preserve">Krahasur me të njejtën periudhë të vitit të kaluar ka një rritje prej 10 inspektime më shumë ose rreth 20 % më shumë realizuar në raport me planifikimin. </w:t>
      </w:r>
    </w:p>
    <w:p w:rsidR="00C72D7B" w:rsidRPr="0050721B" w:rsidRDefault="00C72D7B" w:rsidP="0050721B">
      <w:pPr>
        <w:spacing w:line="276" w:lineRule="auto"/>
        <w:jc w:val="both"/>
        <w:rPr>
          <w:color w:val="FF0000"/>
        </w:rPr>
      </w:pPr>
    </w:p>
    <w:p w:rsidR="008233D2" w:rsidRPr="0050721B" w:rsidRDefault="008233D2" w:rsidP="0050721B">
      <w:pPr>
        <w:spacing w:line="276" w:lineRule="auto"/>
        <w:jc w:val="both"/>
        <w:rPr>
          <w:b/>
          <w:color w:val="0D0D0D" w:themeColor="text1" w:themeTint="F2"/>
        </w:rPr>
      </w:pPr>
      <w:r w:rsidRPr="0050721B">
        <w:rPr>
          <w:b/>
          <w:color w:val="0D0D0D" w:themeColor="text1" w:themeTint="F2"/>
        </w:rPr>
        <w:t xml:space="preserve">-Nënprodukti D. Ankesa të trajtuara ( nr.rreth +- </w:t>
      </w:r>
      <w:r w:rsidR="00DF06D2" w:rsidRPr="0050721B">
        <w:rPr>
          <w:b/>
          <w:color w:val="0D0D0D" w:themeColor="text1" w:themeTint="F2"/>
        </w:rPr>
        <w:t>4</w:t>
      </w:r>
      <w:r w:rsidR="009A2208" w:rsidRPr="0050721B">
        <w:rPr>
          <w:b/>
          <w:color w:val="0D0D0D" w:themeColor="text1" w:themeTint="F2"/>
        </w:rPr>
        <w:t>0</w:t>
      </w:r>
      <w:r w:rsidR="00DF06D2" w:rsidRPr="0050721B">
        <w:rPr>
          <w:b/>
          <w:color w:val="0D0D0D" w:themeColor="text1" w:themeTint="F2"/>
        </w:rPr>
        <w:t>0</w:t>
      </w:r>
      <w:r w:rsidRPr="0050721B">
        <w:rPr>
          <w:b/>
          <w:color w:val="0D0D0D" w:themeColor="text1" w:themeTint="F2"/>
        </w:rPr>
        <w:t xml:space="preserve">),   </w:t>
      </w:r>
    </w:p>
    <w:p w:rsidR="00557647" w:rsidRPr="0050721B" w:rsidRDefault="005877A2" w:rsidP="0050721B">
      <w:pPr>
        <w:pStyle w:val="NormalWeb"/>
        <w:spacing w:line="276" w:lineRule="auto"/>
        <w:jc w:val="both"/>
        <w:rPr>
          <w:color w:val="0D0D0D" w:themeColor="text1" w:themeTint="F2"/>
        </w:rPr>
      </w:pPr>
      <w:r w:rsidRPr="0050721B">
        <w:rPr>
          <w:color w:val="0D0D0D" w:themeColor="text1" w:themeTint="F2"/>
        </w:rPr>
        <w:t xml:space="preserve">Gjatë </w:t>
      </w:r>
      <w:proofErr w:type="spellStart"/>
      <w:r w:rsidRPr="0050721B">
        <w:rPr>
          <w:color w:val="0D0D0D" w:themeColor="text1" w:themeTint="F2"/>
        </w:rPr>
        <w:t>periudhës</w:t>
      </w:r>
      <w:proofErr w:type="spellEnd"/>
      <w:r w:rsidRPr="0050721B">
        <w:rPr>
          <w:color w:val="0D0D0D" w:themeColor="text1" w:themeTint="F2"/>
        </w:rPr>
        <w:t xml:space="preserve"> </w:t>
      </w:r>
      <w:proofErr w:type="spellStart"/>
      <w:r w:rsidRPr="0050721B">
        <w:rPr>
          <w:color w:val="0D0D0D" w:themeColor="text1" w:themeTint="F2"/>
        </w:rPr>
        <w:t>së</w:t>
      </w:r>
      <w:proofErr w:type="spellEnd"/>
      <w:r w:rsidRPr="0050721B">
        <w:rPr>
          <w:color w:val="0D0D0D" w:themeColor="text1" w:themeTint="F2"/>
        </w:rPr>
        <w:t xml:space="preserve"> </w:t>
      </w:r>
      <w:proofErr w:type="spellStart"/>
      <w:r w:rsidRPr="0050721B">
        <w:rPr>
          <w:color w:val="0D0D0D" w:themeColor="text1" w:themeTint="F2"/>
        </w:rPr>
        <w:t>rap</w:t>
      </w:r>
      <w:r w:rsidR="00E12845" w:rsidRPr="0050721B">
        <w:rPr>
          <w:color w:val="0D0D0D" w:themeColor="text1" w:themeTint="F2"/>
        </w:rPr>
        <w:t>o</w:t>
      </w:r>
      <w:r w:rsidRPr="0050721B">
        <w:rPr>
          <w:color w:val="0D0D0D" w:themeColor="text1" w:themeTint="F2"/>
        </w:rPr>
        <w:t>rtimit</w:t>
      </w:r>
      <w:proofErr w:type="spellEnd"/>
      <w:r w:rsidRPr="0050721B">
        <w:rPr>
          <w:color w:val="0D0D0D" w:themeColor="text1" w:themeTint="F2"/>
        </w:rPr>
        <w:t xml:space="preserve"> </w:t>
      </w:r>
      <w:proofErr w:type="spellStart"/>
      <w:r w:rsidRPr="0050721B">
        <w:rPr>
          <w:color w:val="0D0D0D" w:themeColor="text1" w:themeTint="F2"/>
        </w:rPr>
        <w:t>Janar</w:t>
      </w:r>
      <w:proofErr w:type="spellEnd"/>
      <w:r w:rsidRPr="0050721B">
        <w:rPr>
          <w:color w:val="0D0D0D" w:themeColor="text1" w:themeTint="F2"/>
        </w:rPr>
        <w:t xml:space="preserve">- </w:t>
      </w:r>
      <w:proofErr w:type="spellStart"/>
      <w:r w:rsidRPr="0050721B">
        <w:rPr>
          <w:color w:val="0D0D0D" w:themeColor="text1" w:themeTint="F2"/>
        </w:rPr>
        <w:t>prill</w:t>
      </w:r>
      <w:proofErr w:type="spellEnd"/>
      <w:r w:rsidRPr="0050721B">
        <w:rPr>
          <w:color w:val="0D0D0D" w:themeColor="text1" w:themeTint="F2"/>
        </w:rPr>
        <w:t xml:space="preserve"> 2025, </w:t>
      </w:r>
      <w:proofErr w:type="spellStart"/>
      <w:r w:rsidRPr="0050721B">
        <w:rPr>
          <w:color w:val="0D0D0D" w:themeColor="text1" w:themeTint="F2"/>
        </w:rPr>
        <w:t>janë</w:t>
      </w:r>
      <w:proofErr w:type="spellEnd"/>
      <w:r w:rsidRPr="0050721B">
        <w:rPr>
          <w:color w:val="0D0D0D" w:themeColor="text1" w:themeTint="F2"/>
        </w:rPr>
        <w:t xml:space="preserve"> </w:t>
      </w:r>
      <w:proofErr w:type="spellStart"/>
      <w:r w:rsidRPr="0050721B">
        <w:rPr>
          <w:color w:val="0D0D0D" w:themeColor="text1" w:themeTint="F2"/>
        </w:rPr>
        <w:t>trajtuar</w:t>
      </w:r>
      <w:proofErr w:type="spellEnd"/>
      <w:r w:rsidRPr="0050721B">
        <w:rPr>
          <w:color w:val="0D0D0D" w:themeColor="text1" w:themeTint="F2"/>
        </w:rPr>
        <w:t xml:space="preserve"> </w:t>
      </w:r>
      <w:proofErr w:type="spellStart"/>
      <w:r w:rsidR="00557647" w:rsidRPr="0050721B">
        <w:rPr>
          <w:rStyle w:val="Strong"/>
          <w:color w:val="0D0D0D" w:themeColor="text1" w:themeTint="F2"/>
        </w:rPr>
        <w:t>gjithsej</w:t>
      </w:r>
      <w:proofErr w:type="spellEnd"/>
      <w:r w:rsidR="00557647" w:rsidRPr="0050721B">
        <w:rPr>
          <w:rStyle w:val="Strong"/>
          <w:color w:val="0D0D0D" w:themeColor="text1" w:themeTint="F2"/>
        </w:rPr>
        <w:t xml:space="preserve"> 466 </w:t>
      </w:r>
      <w:proofErr w:type="spellStart"/>
      <w:r w:rsidR="00557647" w:rsidRPr="0050721B">
        <w:rPr>
          <w:rStyle w:val="Strong"/>
          <w:color w:val="0D0D0D" w:themeColor="text1" w:themeTint="F2"/>
        </w:rPr>
        <w:t>ankesa</w:t>
      </w:r>
      <w:proofErr w:type="spellEnd"/>
      <w:r w:rsidR="00557647" w:rsidRPr="0050721B">
        <w:rPr>
          <w:rStyle w:val="Strong"/>
          <w:color w:val="0D0D0D" w:themeColor="text1" w:themeTint="F2"/>
        </w:rPr>
        <w:t xml:space="preserve"> </w:t>
      </w:r>
      <w:proofErr w:type="spellStart"/>
      <w:r w:rsidR="00557647" w:rsidRPr="0050721B">
        <w:rPr>
          <w:rStyle w:val="Strong"/>
          <w:color w:val="0D0D0D" w:themeColor="text1" w:themeTint="F2"/>
        </w:rPr>
        <w:t>nga</w:t>
      </w:r>
      <w:proofErr w:type="spellEnd"/>
      <w:r w:rsidR="00557647" w:rsidRPr="0050721B">
        <w:rPr>
          <w:rStyle w:val="Strong"/>
          <w:color w:val="0D0D0D" w:themeColor="text1" w:themeTint="F2"/>
        </w:rPr>
        <w:t xml:space="preserve"> </w:t>
      </w:r>
      <w:proofErr w:type="spellStart"/>
      <w:r w:rsidR="00557647" w:rsidRPr="0050721B">
        <w:rPr>
          <w:rStyle w:val="Strong"/>
          <w:color w:val="0D0D0D" w:themeColor="text1" w:themeTint="F2"/>
        </w:rPr>
        <w:t>qytetarë</w:t>
      </w:r>
      <w:proofErr w:type="spellEnd"/>
      <w:r w:rsidR="00557647" w:rsidRPr="0050721B">
        <w:rPr>
          <w:rStyle w:val="Strong"/>
          <w:color w:val="0D0D0D" w:themeColor="text1" w:themeTint="F2"/>
        </w:rPr>
        <w:t xml:space="preserve"> dhe/</w:t>
      </w:r>
      <w:proofErr w:type="spellStart"/>
      <w:r w:rsidR="00557647" w:rsidRPr="0050721B">
        <w:rPr>
          <w:rStyle w:val="Strong"/>
          <w:color w:val="0D0D0D" w:themeColor="text1" w:themeTint="F2"/>
        </w:rPr>
        <w:t>ose</w:t>
      </w:r>
      <w:proofErr w:type="spellEnd"/>
      <w:r w:rsidR="00557647" w:rsidRPr="0050721B">
        <w:rPr>
          <w:rStyle w:val="Strong"/>
          <w:color w:val="0D0D0D" w:themeColor="text1" w:themeTint="F2"/>
        </w:rPr>
        <w:t xml:space="preserve"> </w:t>
      </w:r>
      <w:proofErr w:type="spellStart"/>
      <w:r w:rsidR="00557647" w:rsidRPr="0050721B">
        <w:rPr>
          <w:rStyle w:val="Strong"/>
          <w:color w:val="0D0D0D" w:themeColor="text1" w:themeTint="F2"/>
        </w:rPr>
        <w:t>subjekte</w:t>
      </w:r>
      <w:proofErr w:type="spellEnd"/>
      <w:r w:rsidR="00557647" w:rsidRPr="0050721B">
        <w:rPr>
          <w:rStyle w:val="Strong"/>
          <w:color w:val="0D0D0D" w:themeColor="text1" w:themeTint="F2"/>
        </w:rPr>
        <w:t xml:space="preserve"> të të dhënave personale.</w:t>
      </w:r>
      <w:r w:rsidR="00557647" w:rsidRPr="0050721B">
        <w:rPr>
          <w:b/>
          <w:color w:val="0D0D0D" w:themeColor="text1" w:themeTint="F2"/>
        </w:rPr>
        <w:t xml:space="preserve"> </w:t>
      </w:r>
      <w:r w:rsidR="00557647" w:rsidRPr="0050721B">
        <w:rPr>
          <w:color w:val="0D0D0D" w:themeColor="text1" w:themeTint="F2"/>
        </w:rPr>
        <w:t>Nga shqyrtimi i këtyre ankesave, është bërë kategorizimi i objekteve të tyre si më poshtë:</w:t>
      </w:r>
    </w:p>
    <w:p w:rsidR="00557647" w:rsidRPr="0050721B" w:rsidRDefault="00557647" w:rsidP="0050721B">
      <w:pPr>
        <w:pStyle w:val="ListParagraph"/>
        <w:numPr>
          <w:ilvl w:val="0"/>
          <w:numId w:val="36"/>
        </w:numPr>
        <w:spacing w:after="0"/>
        <w:jc w:val="both"/>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 xml:space="preserve">Cenimi i të drejtave të subjekteve të të dhënave personale (informim/akses/korrigjim dhe fshirje/ e drejta për tu harruar); </w:t>
      </w:r>
    </w:p>
    <w:p w:rsidR="00557647" w:rsidRPr="0050721B" w:rsidRDefault="00557647" w:rsidP="0050721B">
      <w:pPr>
        <w:pStyle w:val="ListParagraph"/>
        <w:numPr>
          <w:ilvl w:val="0"/>
          <w:numId w:val="36"/>
        </w:numPr>
        <w:spacing w:after="0"/>
        <w:jc w:val="both"/>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 xml:space="preserve">Përhapja e të dhënave personale pa pëlqimin e subjektit të të dhënave personale; </w:t>
      </w:r>
    </w:p>
    <w:p w:rsidR="00557647" w:rsidRPr="0050721B" w:rsidRDefault="00557647" w:rsidP="0050721B">
      <w:pPr>
        <w:pStyle w:val="ListParagraph"/>
        <w:numPr>
          <w:ilvl w:val="0"/>
          <w:numId w:val="36"/>
        </w:numPr>
        <w:spacing w:after="0"/>
        <w:jc w:val="both"/>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 xml:space="preserve">Përpunimi i të dhënave në mënyrë jo të drejtë dhe të ligjshme; </w:t>
      </w:r>
    </w:p>
    <w:p w:rsidR="00557647" w:rsidRPr="0050721B" w:rsidRDefault="00557647" w:rsidP="0050721B">
      <w:pPr>
        <w:pStyle w:val="ListParagraph"/>
        <w:numPr>
          <w:ilvl w:val="0"/>
          <w:numId w:val="36"/>
        </w:numPr>
        <w:spacing w:after="0"/>
        <w:jc w:val="both"/>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 xml:space="preserve">Përhapja të dhënave personale në media dhe portale online; </w:t>
      </w:r>
    </w:p>
    <w:p w:rsidR="00557647" w:rsidRPr="0050721B" w:rsidRDefault="00557647" w:rsidP="0050721B">
      <w:pPr>
        <w:pStyle w:val="ListParagraph"/>
        <w:numPr>
          <w:ilvl w:val="0"/>
          <w:numId w:val="36"/>
        </w:numPr>
        <w:spacing w:after="0"/>
        <w:jc w:val="both"/>
        <w:rPr>
          <w:rFonts w:ascii="Times New Roman" w:eastAsia="Batang" w:hAnsi="Times New Roman"/>
          <w:b/>
          <w:color w:val="0D0D0D" w:themeColor="text1" w:themeTint="F2"/>
          <w:sz w:val="24"/>
          <w:szCs w:val="24"/>
          <w:lang w:eastAsia="ko-KR"/>
        </w:rPr>
      </w:pPr>
      <w:r w:rsidRPr="0050721B">
        <w:rPr>
          <w:rFonts w:ascii="Times New Roman" w:hAnsi="Times New Roman"/>
          <w:color w:val="0D0D0D" w:themeColor="text1" w:themeTint="F2"/>
          <w:sz w:val="24"/>
          <w:szCs w:val="24"/>
        </w:rPr>
        <w:t xml:space="preserve">Vendosja e kamerave në ambiente publike dhe private; </w:t>
      </w:r>
    </w:p>
    <w:p w:rsidR="00557647" w:rsidRPr="0050721B" w:rsidRDefault="00557647" w:rsidP="0050721B">
      <w:pPr>
        <w:pStyle w:val="ListParagraph"/>
        <w:numPr>
          <w:ilvl w:val="0"/>
          <w:numId w:val="44"/>
        </w:numPr>
        <w:spacing w:after="0"/>
        <w:jc w:val="both"/>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 xml:space="preserve">Marketing i drejtpërdrejtë në lidhje me komunikimet e pakërkuara, nëpërmjet telefonit ose postës elektronike; </w:t>
      </w:r>
    </w:p>
    <w:p w:rsidR="008233D2" w:rsidRPr="0050721B" w:rsidRDefault="00557647" w:rsidP="0050721B">
      <w:pPr>
        <w:pStyle w:val="ListParagraph"/>
        <w:numPr>
          <w:ilvl w:val="0"/>
          <w:numId w:val="44"/>
        </w:numPr>
        <w:spacing w:after="0"/>
        <w:jc w:val="both"/>
        <w:rPr>
          <w:rFonts w:ascii="Times New Roman" w:hAnsi="Times New Roman"/>
          <w:color w:val="0D0D0D" w:themeColor="text1" w:themeTint="F2"/>
          <w:sz w:val="24"/>
          <w:szCs w:val="24"/>
        </w:rPr>
      </w:pPr>
      <w:r w:rsidRPr="0050721B">
        <w:rPr>
          <w:rFonts w:ascii="Times New Roman" w:hAnsi="Times New Roman"/>
          <w:color w:val="0D0D0D" w:themeColor="text1" w:themeTint="F2"/>
          <w:sz w:val="24"/>
          <w:szCs w:val="24"/>
        </w:rPr>
        <w:t>Tejkalimin e afatit të mbledhjes së të dhënave personale për një qëllim të caktuar.</w:t>
      </w:r>
    </w:p>
    <w:p w:rsidR="008233D2" w:rsidRPr="0050721B" w:rsidRDefault="008233D2" w:rsidP="0050721B">
      <w:pPr>
        <w:spacing w:line="276" w:lineRule="auto"/>
        <w:jc w:val="both"/>
        <w:rPr>
          <w:color w:val="0D0D0D" w:themeColor="text1" w:themeTint="F2"/>
        </w:rPr>
      </w:pPr>
      <w:r w:rsidRPr="0050721B">
        <w:rPr>
          <w:rFonts w:eastAsia="Calibri"/>
          <w:color w:val="0D0D0D" w:themeColor="text1" w:themeTint="F2"/>
        </w:rPr>
        <w:t xml:space="preserve">Synimi kryesor ka qenë </w:t>
      </w:r>
      <w:r w:rsidRPr="0050721B">
        <w:rPr>
          <w:color w:val="0D0D0D" w:themeColor="text1" w:themeTint="F2"/>
        </w:rPr>
        <w:t xml:space="preserve">zbatimi i ligjit “Për mbrojtjen e të dhënave personale”, dhe akteve të miratuar nga Komisioneri në lidhje me mbledhjen përpunimin, ruajtjen dhe sigurinë e të dhënave personale. </w:t>
      </w:r>
    </w:p>
    <w:p w:rsidR="008233D2" w:rsidRPr="0050721B" w:rsidRDefault="00FF7575" w:rsidP="0050721B">
      <w:pPr>
        <w:spacing w:line="276" w:lineRule="auto"/>
        <w:jc w:val="both"/>
        <w:rPr>
          <w:color w:val="0D0D0D" w:themeColor="text1" w:themeTint="F2"/>
        </w:rPr>
      </w:pPr>
      <w:r w:rsidRPr="0050721B">
        <w:rPr>
          <w:color w:val="0D0D0D" w:themeColor="text1" w:themeTint="F2"/>
        </w:rPr>
        <w:t>Bazuar në këto të dhëna, rezulton se numri i ank</w:t>
      </w:r>
      <w:r w:rsidR="00DF06D2" w:rsidRPr="0050721B">
        <w:rPr>
          <w:color w:val="0D0D0D" w:themeColor="text1" w:themeTint="F2"/>
        </w:rPr>
        <w:t>esave</w:t>
      </w:r>
      <w:r w:rsidR="005877A2" w:rsidRPr="0050721B">
        <w:rPr>
          <w:color w:val="0D0D0D" w:themeColor="text1" w:themeTint="F2"/>
        </w:rPr>
        <w:t xml:space="preserve"> </w:t>
      </w:r>
      <w:r w:rsidRPr="0050721B">
        <w:rPr>
          <w:color w:val="0D0D0D" w:themeColor="text1" w:themeTint="F2"/>
        </w:rPr>
        <w:t>të ardhura në adresë të Komisionerit</w:t>
      </w:r>
      <w:r w:rsidR="005877A2" w:rsidRPr="0050721B">
        <w:rPr>
          <w:color w:val="0D0D0D" w:themeColor="text1" w:themeTint="F2"/>
        </w:rPr>
        <w:t>,</w:t>
      </w:r>
      <w:r w:rsidRPr="0050721B">
        <w:rPr>
          <w:color w:val="0D0D0D" w:themeColor="text1" w:themeTint="F2"/>
        </w:rPr>
        <w:t xml:space="preserve"> është </w:t>
      </w:r>
      <w:r w:rsidR="00557647" w:rsidRPr="0050721B">
        <w:rPr>
          <w:color w:val="0D0D0D" w:themeColor="text1" w:themeTint="F2"/>
        </w:rPr>
        <w:t>mjaftueshëm në trendin rritës</w:t>
      </w:r>
      <w:r w:rsidRPr="0050721B">
        <w:rPr>
          <w:color w:val="0D0D0D" w:themeColor="text1" w:themeTint="F2"/>
        </w:rPr>
        <w:t xml:space="preserve">, krahasuar me </w:t>
      </w:r>
      <w:r w:rsidR="005877A2" w:rsidRPr="0050721B">
        <w:rPr>
          <w:color w:val="0D0D0D" w:themeColor="text1" w:themeTint="F2"/>
        </w:rPr>
        <w:t>t</w:t>
      </w:r>
      <w:r w:rsidR="00DF06D2" w:rsidRPr="0050721B">
        <w:rPr>
          <w:color w:val="0D0D0D" w:themeColor="text1" w:themeTint="F2"/>
        </w:rPr>
        <w:t xml:space="preserve">ë </w:t>
      </w:r>
      <w:r w:rsidR="005877A2" w:rsidRPr="0050721B">
        <w:rPr>
          <w:color w:val="0D0D0D" w:themeColor="text1" w:themeTint="F2"/>
        </w:rPr>
        <w:t xml:space="preserve"> nj</w:t>
      </w:r>
      <w:r w:rsidR="00DF06D2" w:rsidRPr="0050721B">
        <w:rPr>
          <w:color w:val="0D0D0D" w:themeColor="text1" w:themeTint="F2"/>
        </w:rPr>
        <w:t>ë</w:t>
      </w:r>
      <w:r w:rsidR="005877A2" w:rsidRPr="0050721B">
        <w:rPr>
          <w:color w:val="0D0D0D" w:themeColor="text1" w:themeTint="F2"/>
        </w:rPr>
        <w:t>jt</w:t>
      </w:r>
      <w:r w:rsidR="00DF06D2" w:rsidRPr="0050721B">
        <w:rPr>
          <w:color w:val="0D0D0D" w:themeColor="text1" w:themeTint="F2"/>
        </w:rPr>
        <w:t>ë</w:t>
      </w:r>
      <w:r w:rsidR="005877A2" w:rsidRPr="0050721B">
        <w:rPr>
          <w:color w:val="0D0D0D" w:themeColor="text1" w:themeTint="F2"/>
        </w:rPr>
        <w:t>n periudh</w:t>
      </w:r>
      <w:r w:rsidR="00DF06D2" w:rsidRPr="0050721B">
        <w:rPr>
          <w:color w:val="0D0D0D" w:themeColor="text1" w:themeTint="F2"/>
        </w:rPr>
        <w:t>ë</w:t>
      </w:r>
      <w:r w:rsidR="005877A2" w:rsidRPr="0050721B">
        <w:rPr>
          <w:color w:val="0D0D0D" w:themeColor="text1" w:themeTint="F2"/>
        </w:rPr>
        <w:t xml:space="preserve"> të </w:t>
      </w:r>
      <w:r w:rsidRPr="0050721B">
        <w:rPr>
          <w:color w:val="0D0D0D" w:themeColor="text1" w:themeTint="F2"/>
        </w:rPr>
        <w:t xml:space="preserve">një vit më parë, ku u regjistruan </w:t>
      </w:r>
      <w:r w:rsidR="0050721B" w:rsidRPr="0050721B">
        <w:rPr>
          <w:color w:val="0D0D0D" w:themeColor="text1" w:themeTint="F2"/>
        </w:rPr>
        <w:t xml:space="preserve">298 </w:t>
      </w:r>
      <w:r w:rsidR="00DF06D2" w:rsidRPr="0050721B">
        <w:rPr>
          <w:color w:val="0D0D0D" w:themeColor="text1" w:themeTint="F2"/>
        </w:rPr>
        <w:t xml:space="preserve">ankesa, </w:t>
      </w:r>
      <w:r w:rsidR="00557647" w:rsidRPr="0050721B">
        <w:rPr>
          <w:color w:val="0D0D0D" w:themeColor="text1" w:themeTint="F2"/>
        </w:rPr>
        <w:t>por edhe me atë të planifikuarin e pritsh</w:t>
      </w:r>
      <w:r w:rsidR="002723A7">
        <w:rPr>
          <w:color w:val="0D0D0D" w:themeColor="text1" w:themeTint="F2"/>
        </w:rPr>
        <w:t xml:space="preserve">ëm deri në fund vit. Plotësimi </w:t>
      </w:r>
      <w:r w:rsidR="00557647" w:rsidRPr="0050721B">
        <w:rPr>
          <w:color w:val="0D0D0D" w:themeColor="text1" w:themeTint="F2"/>
        </w:rPr>
        <w:t>i këtij t</w:t>
      </w:r>
      <w:r w:rsidR="002723A7">
        <w:rPr>
          <w:color w:val="0D0D0D" w:themeColor="text1" w:themeTint="F2"/>
        </w:rPr>
        <w:t>reguesi</w:t>
      </w:r>
      <w:r w:rsidRPr="0050721B">
        <w:rPr>
          <w:color w:val="0D0D0D" w:themeColor="text1" w:themeTint="F2"/>
        </w:rPr>
        <w:t xml:space="preserve"> </w:t>
      </w:r>
      <w:r w:rsidR="00557647" w:rsidRPr="0050721B">
        <w:rPr>
          <w:color w:val="0D0D0D" w:themeColor="text1" w:themeTint="F2"/>
        </w:rPr>
        <w:t xml:space="preserve">konfirmon </w:t>
      </w:r>
      <w:r w:rsidRPr="0050721B">
        <w:rPr>
          <w:color w:val="0D0D0D" w:themeColor="text1" w:themeTint="F2"/>
        </w:rPr>
        <w:t xml:space="preserve">rëndësinë që individët </w:t>
      </w:r>
      <w:r w:rsidR="00557647" w:rsidRPr="0050721B">
        <w:rPr>
          <w:color w:val="0D0D0D" w:themeColor="text1" w:themeTint="F2"/>
        </w:rPr>
        <w:t xml:space="preserve"> po o kushtojnë </w:t>
      </w:r>
      <w:r w:rsidRPr="0050721B">
        <w:rPr>
          <w:color w:val="0D0D0D" w:themeColor="text1" w:themeTint="F2"/>
        </w:rPr>
        <w:t xml:space="preserve">kontrollit dhe mbrojtjes së të dhënave të tyre personale. </w:t>
      </w:r>
      <w:r w:rsidR="005877A2" w:rsidRPr="0050721B">
        <w:rPr>
          <w:color w:val="0D0D0D" w:themeColor="text1" w:themeTint="F2"/>
        </w:rPr>
        <w:t xml:space="preserve"> </w:t>
      </w:r>
    </w:p>
    <w:p w:rsidR="00C72D7B" w:rsidRPr="0050721B" w:rsidRDefault="00C72D7B" w:rsidP="0050721B">
      <w:pPr>
        <w:spacing w:line="276" w:lineRule="auto"/>
        <w:jc w:val="both"/>
        <w:rPr>
          <w:color w:val="FF0000"/>
        </w:rPr>
      </w:pPr>
    </w:p>
    <w:p w:rsidR="008233D2" w:rsidRPr="0050721B" w:rsidRDefault="008233D2" w:rsidP="0050721B">
      <w:pPr>
        <w:spacing w:line="276" w:lineRule="auto"/>
        <w:jc w:val="both"/>
        <w:rPr>
          <w:color w:val="0D0D0D" w:themeColor="text1" w:themeTint="F2"/>
        </w:rPr>
      </w:pPr>
      <w:r w:rsidRPr="0050721B">
        <w:rPr>
          <w:b/>
          <w:color w:val="0D0D0D" w:themeColor="text1" w:themeTint="F2"/>
        </w:rPr>
        <w:t xml:space="preserve">Nënprodukti D: </w:t>
      </w:r>
      <w:r w:rsidR="00E16DF6" w:rsidRPr="0050721B">
        <w:rPr>
          <w:b/>
          <w:color w:val="0D0D0D" w:themeColor="text1" w:themeTint="F2"/>
        </w:rPr>
        <w:t>(</w:t>
      </w:r>
      <w:r w:rsidRPr="0050721B">
        <w:rPr>
          <w:b/>
          <w:color w:val="0D0D0D" w:themeColor="text1" w:themeTint="F2"/>
        </w:rPr>
        <w:t>Ankesa të trajtuara</w:t>
      </w:r>
      <w:r w:rsidR="00E16DF6" w:rsidRPr="0050721B">
        <w:rPr>
          <w:b/>
          <w:color w:val="0D0D0D" w:themeColor="text1" w:themeTint="F2"/>
        </w:rPr>
        <w:t>)</w:t>
      </w:r>
      <w:r w:rsidRPr="0050721B">
        <w:rPr>
          <w:b/>
          <w:color w:val="0D0D0D" w:themeColor="text1" w:themeTint="F2"/>
        </w:rPr>
        <w:t xml:space="preserve">, </w:t>
      </w:r>
      <w:r w:rsidRPr="0050721B">
        <w:rPr>
          <w:color w:val="0D0D0D" w:themeColor="text1" w:themeTint="F2"/>
        </w:rPr>
        <w:t>pa</w:t>
      </w:r>
      <w:r w:rsidR="00FF7575" w:rsidRPr="0050721B">
        <w:rPr>
          <w:color w:val="0D0D0D" w:themeColor="text1" w:themeTint="F2"/>
        </w:rPr>
        <w:t xml:space="preserve"> përfshirë vendime, rekomandime, ins</w:t>
      </w:r>
      <w:r w:rsidR="00E16DF6" w:rsidRPr="0050721B">
        <w:rPr>
          <w:color w:val="0D0D0D" w:themeColor="text1" w:themeTint="F2"/>
        </w:rPr>
        <w:t>p</w:t>
      </w:r>
      <w:r w:rsidR="00FF7575" w:rsidRPr="0050721B">
        <w:rPr>
          <w:color w:val="0D0D0D" w:themeColor="text1" w:themeTint="F2"/>
        </w:rPr>
        <w:t>ektime</w:t>
      </w:r>
      <w:r w:rsidR="00E16DF6" w:rsidRPr="0050721B">
        <w:rPr>
          <w:color w:val="0D0D0D" w:themeColor="text1" w:themeTint="F2"/>
        </w:rPr>
        <w:t xml:space="preserve">, janë </w:t>
      </w:r>
      <w:r w:rsidR="00FF7575" w:rsidRPr="0050721B">
        <w:rPr>
          <w:color w:val="0D0D0D" w:themeColor="text1" w:themeTint="F2"/>
        </w:rPr>
        <w:t xml:space="preserve"> </w:t>
      </w:r>
      <w:r w:rsidR="00E16DF6" w:rsidRPr="0050721B">
        <w:rPr>
          <w:color w:val="0D0D0D" w:themeColor="text1" w:themeTint="F2"/>
        </w:rPr>
        <w:t xml:space="preserve">trajtuar </w:t>
      </w:r>
      <w:r w:rsidRPr="0050721B">
        <w:rPr>
          <w:color w:val="0D0D0D" w:themeColor="text1" w:themeTint="F2"/>
        </w:rPr>
        <w:t xml:space="preserve"> nga ana sasiore </w:t>
      </w:r>
      <w:r w:rsidR="002723A7">
        <w:rPr>
          <w:color w:val="0D0D0D" w:themeColor="text1" w:themeTint="F2"/>
        </w:rPr>
        <w:t xml:space="preserve">466 </w:t>
      </w:r>
      <w:r w:rsidRPr="00293788">
        <w:rPr>
          <w:color w:val="0D0D0D" w:themeColor="text1" w:themeTint="F2"/>
        </w:rPr>
        <w:t>ankesa</w:t>
      </w:r>
      <w:r w:rsidRPr="0050721B">
        <w:rPr>
          <w:color w:val="0D0D0D" w:themeColor="text1" w:themeTint="F2"/>
        </w:rPr>
        <w:t xml:space="preserve">, ose </w:t>
      </w:r>
      <w:r w:rsidR="00557647" w:rsidRPr="0050721B">
        <w:rPr>
          <w:color w:val="0D0D0D" w:themeColor="text1" w:themeTint="F2"/>
        </w:rPr>
        <w:t xml:space="preserve">mbi 100 </w:t>
      </w:r>
      <w:r w:rsidR="00DF06D2" w:rsidRPr="0050721B">
        <w:rPr>
          <w:color w:val="0D0D0D" w:themeColor="text1" w:themeTint="F2"/>
        </w:rPr>
        <w:t>% e planifikimit vjetor</w:t>
      </w:r>
      <w:r w:rsidR="00E16DF6" w:rsidRPr="0050721B">
        <w:rPr>
          <w:color w:val="0D0D0D" w:themeColor="text1" w:themeTint="F2"/>
        </w:rPr>
        <w:t xml:space="preserve">. </w:t>
      </w:r>
      <w:r w:rsidR="0050721B" w:rsidRPr="0050721B">
        <w:rPr>
          <w:color w:val="0D0D0D" w:themeColor="text1" w:themeTint="F2"/>
        </w:rPr>
        <w:t>Krahasuar me periudhën respektive të një viti më parë kemi një trend rritës përtej atij të planifikuarit. Pritshmëritë  deri në fund të vitit do të tejkalojnë ndjeshëm atë të planifikuar, çka do të thotë se qytetaret /subje</w:t>
      </w:r>
      <w:r w:rsidR="002723A7">
        <w:rPr>
          <w:color w:val="0D0D0D" w:themeColor="text1" w:themeTint="F2"/>
        </w:rPr>
        <w:t>ktet e ankesave janë tashmë të</w:t>
      </w:r>
      <w:r w:rsidR="0050721B" w:rsidRPr="0050721B">
        <w:rPr>
          <w:color w:val="0D0D0D" w:themeColor="text1" w:themeTint="F2"/>
        </w:rPr>
        <w:t xml:space="preserve"> ndërgjegjësuar dhe mirëinformuar për mbrojtjen e të dhënave të tyre, por edhe në rritje të besimit të </w:t>
      </w:r>
      <w:r w:rsidR="0050721B" w:rsidRPr="0050721B">
        <w:rPr>
          <w:color w:val="0D0D0D" w:themeColor="text1" w:themeTint="F2"/>
        </w:rPr>
        <w:lastRenderedPageBreak/>
        <w:t xml:space="preserve">garantuesit ligjor si Zyra e Komisionerit, e cila trajton në kohë çdo ankesë, duke venë në  vend të drejtat e cënuara. </w:t>
      </w:r>
    </w:p>
    <w:p w:rsidR="008233D2" w:rsidRPr="0050721B" w:rsidRDefault="008233D2" w:rsidP="0050721B">
      <w:pPr>
        <w:spacing w:line="276" w:lineRule="auto"/>
        <w:jc w:val="both"/>
        <w:rPr>
          <w:color w:val="0D0D0D" w:themeColor="text1" w:themeTint="F2"/>
        </w:rPr>
      </w:pPr>
    </w:p>
    <w:p w:rsidR="008233D2" w:rsidRPr="0050721B" w:rsidRDefault="008233D2" w:rsidP="0050721B">
      <w:pPr>
        <w:pStyle w:val="ListParagraph"/>
        <w:numPr>
          <w:ilvl w:val="0"/>
          <w:numId w:val="7"/>
        </w:numPr>
        <w:jc w:val="both"/>
        <w:rPr>
          <w:rFonts w:ascii="Times New Roman" w:eastAsia="Batang" w:hAnsi="Times New Roman"/>
          <w:b/>
          <w:color w:val="0D0D0D" w:themeColor="text1" w:themeTint="F2"/>
          <w:sz w:val="24"/>
          <w:szCs w:val="24"/>
          <w:lang w:eastAsia="ko-KR"/>
        </w:rPr>
      </w:pPr>
      <w:r w:rsidRPr="0050721B">
        <w:rPr>
          <w:rFonts w:ascii="Times New Roman" w:eastAsia="Batang" w:hAnsi="Times New Roman"/>
          <w:b/>
          <w:color w:val="0D0D0D" w:themeColor="text1" w:themeTint="F2"/>
          <w:sz w:val="24"/>
          <w:szCs w:val="24"/>
          <w:lang w:eastAsia="ko-KR"/>
        </w:rPr>
        <w:t xml:space="preserve">Aktivitete të tjera mbështetëse </w:t>
      </w:r>
    </w:p>
    <w:p w:rsidR="008233D2" w:rsidRPr="0050721B" w:rsidRDefault="00885644" w:rsidP="0050721B">
      <w:pPr>
        <w:pStyle w:val="NoSpacing"/>
        <w:spacing w:line="276" w:lineRule="auto"/>
        <w:jc w:val="both"/>
        <w:rPr>
          <w:rFonts w:ascii="Times New Roman" w:hAnsi="Times New Roman"/>
          <w:color w:val="0D0D0D" w:themeColor="text1" w:themeTint="F2"/>
          <w:sz w:val="24"/>
          <w:szCs w:val="24"/>
          <w:shd w:val="clear" w:color="auto" w:fill="F9F9F9"/>
        </w:rPr>
      </w:pPr>
      <w:r w:rsidRPr="0050721B">
        <w:rPr>
          <w:rFonts w:ascii="Times New Roman" w:hAnsi="Times New Roman"/>
          <w:color w:val="0D0D0D" w:themeColor="text1" w:themeTint="F2"/>
          <w:sz w:val="24"/>
          <w:szCs w:val="24"/>
          <w:lang w:val="sq-AL"/>
        </w:rPr>
        <w:t xml:space="preserve">Zyra e Komisionerit, me rastin e 28 Janarit, </w:t>
      </w:r>
      <w:r w:rsidR="0093545A" w:rsidRPr="0050721B">
        <w:rPr>
          <w:rFonts w:ascii="Times New Roman" w:hAnsi="Times New Roman"/>
          <w:color w:val="0D0D0D" w:themeColor="text1" w:themeTint="F2"/>
          <w:sz w:val="24"/>
          <w:szCs w:val="24"/>
          <w:lang w:val="sq-AL"/>
        </w:rPr>
        <w:t>Diës Ndërkombëtare të Mbrojtjes së të d</w:t>
      </w:r>
      <w:r w:rsidR="002723A7">
        <w:rPr>
          <w:rFonts w:ascii="Times New Roman" w:hAnsi="Times New Roman"/>
          <w:color w:val="0D0D0D" w:themeColor="text1" w:themeTint="F2"/>
          <w:sz w:val="24"/>
          <w:szCs w:val="24"/>
          <w:lang w:val="sq-AL"/>
        </w:rPr>
        <w:t>hënave personale (Privacy day),</w:t>
      </w:r>
      <w:r w:rsidR="0093545A" w:rsidRPr="0050721B">
        <w:rPr>
          <w:rFonts w:ascii="Times New Roman" w:hAnsi="Times New Roman"/>
          <w:color w:val="0D0D0D" w:themeColor="text1" w:themeTint="F2"/>
          <w:sz w:val="24"/>
          <w:szCs w:val="24"/>
          <w:lang w:val="sq-AL"/>
        </w:rPr>
        <w:t xml:space="preserve"> ka zhvilluar </w:t>
      </w:r>
      <w:r w:rsidRPr="0050721B">
        <w:rPr>
          <w:rFonts w:ascii="Times New Roman" w:hAnsi="Times New Roman"/>
          <w:color w:val="0D0D0D" w:themeColor="text1" w:themeTint="F2"/>
          <w:sz w:val="24"/>
          <w:szCs w:val="24"/>
          <w:lang w:val="sq-AL"/>
        </w:rPr>
        <w:t>aktivitet</w:t>
      </w:r>
      <w:r w:rsidR="0093545A" w:rsidRPr="0050721B">
        <w:rPr>
          <w:rFonts w:ascii="Times New Roman" w:hAnsi="Times New Roman"/>
          <w:color w:val="0D0D0D" w:themeColor="text1" w:themeTint="F2"/>
          <w:sz w:val="24"/>
          <w:szCs w:val="24"/>
          <w:lang w:val="sq-AL"/>
        </w:rPr>
        <w:t xml:space="preserve"> </w:t>
      </w:r>
      <w:r w:rsidRPr="0050721B">
        <w:rPr>
          <w:rFonts w:ascii="Times New Roman" w:hAnsi="Times New Roman"/>
          <w:color w:val="0D0D0D" w:themeColor="text1" w:themeTint="F2"/>
          <w:sz w:val="24"/>
          <w:szCs w:val="24"/>
          <w:lang w:val="sq-AL"/>
        </w:rPr>
        <w:t xml:space="preserve">ndërgjegjësuese </w:t>
      </w:r>
      <w:r w:rsidR="0093545A" w:rsidRPr="0050721B">
        <w:rPr>
          <w:rFonts w:ascii="Times New Roman" w:hAnsi="Times New Roman"/>
          <w:color w:val="0D0D0D" w:themeColor="text1" w:themeTint="F2"/>
          <w:sz w:val="24"/>
          <w:szCs w:val="24"/>
          <w:lang w:val="sq-AL"/>
        </w:rPr>
        <w:t xml:space="preserve">për përfaqësues drejtues të arsimit të lartë, të mesëm dhe prindër e mësues, me fokus rëndësinë e respektimit të privatësisë, ruajtjes dhe mbrojtjes së të dhënave personale.    </w:t>
      </w:r>
    </w:p>
    <w:p w:rsidR="00557647" w:rsidRPr="0050721B" w:rsidRDefault="00BA5017" w:rsidP="0050721B">
      <w:pPr>
        <w:shd w:val="clear" w:color="auto" w:fill="FFFFFF" w:themeFill="background1"/>
        <w:spacing w:after="160" w:line="276" w:lineRule="auto"/>
        <w:jc w:val="both"/>
        <w:rPr>
          <w:color w:val="0D0D0D" w:themeColor="text1" w:themeTint="F2"/>
          <w:lang w:val="en-US"/>
          <w14:ligatures w14:val="standardContextual"/>
        </w:rPr>
      </w:pPr>
      <w:r w:rsidRPr="0050721B">
        <w:rPr>
          <w:color w:val="0D0D0D" w:themeColor="text1" w:themeTint="F2"/>
          <w:lang w:val="en-US"/>
          <w14:ligatures w14:val="standardContextual"/>
        </w:rPr>
        <w:t>Gjatë kësaj periu</w:t>
      </w:r>
      <w:r w:rsidR="00C72D7B" w:rsidRPr="0050721B">
        <w:rPr>
          <w:color w:val="0D0D0D" w:themeColor="text1" w:themeTint="F2"/>
          <w:lang w:val="en-US"/>
          <w14:ligatures w14:val="standardContextual"/>
        </w:rPr>
        <w:t xml:space="preserve">dhe kanë qenë të shumta takimet brenda apo jashtë vendit, për zbatimin </w:t>
      </w:r>
      <w:r w:rsidRPr="0050721B">
        <w:rPr>
          <w:color w:val="0D0D0D" w:themeColor="text1" w:themeTint="F2"/>
          <w:lang w:val="en-US"/>
          <w14:ligatures w14:val="standardContextual"/>
        </w:rPr>
        <w:t>e detyrimeve ligjore brenda fushës së përgjegjësisë, të financuar nga Buxheti i shtetit</w:t>
      </w:r>
      <w:r w:rsidR="00A017C8" w:rsidRPr="0050721B">
        <w:rPr>
          <w:color w:val="0D0D0D" w:themeColor="text1" w:themeTint="F2"/>
          <w:lang w:val="en-US"/>
          <w14:ligatures w14:val="standardContextual"/>
        </w:rPr>
        <w:t xml:space="preserve">. </w:t>
      </w:r>
    </w:p>
    <w:p w:rsidR="00D37F88" w:rsidRPr="0050721B" w:rsidRDefault="00557647" w:rsidP="0050721B">
      <w:pPr>
        <w:spacing w:after="160" w:line="276" w:lineRule="auto"/>
        <w:jc w:val="both"/>
        <w:rPr>
          <w:color w:val="0D0D0D" w:themeColor="text1" w:themeTint="F2"/>
        </w:rPr>
      </w:pPr>
      <w:r w:rsidRPr="0050721B">
        <w:rPr>
          <w:color w:val="0D0D0D" w:themeColor="text1" w:themeTint="F2"/>
          <w:lang w:val="en-US"/>
          <w14:ligatures w14:val="standardContextual"/>
        </w:rPr>
        <w:t>Pas</w:t>
      </w:r>
      <w:r w:rsidR="00E76D5D">
        <w:rPr>
          <w:color w:val="0D0D0D" w:themeColor="text1" w:themeTint="F2"/>
          <w:lang w:val="en-US"/>
          <w14:ligatures w14:val="standardContextual"/>
        </w:rPr>
        <w:t xml:space="preserve"> </w:t>
      </w:r>
      <w:proofErr w:type="spellStart"/>
      <w:r w:rsidR="00E76D5D">
        <w:rPr>
          <w:color w:val="0D0D0D" w:themeColor="text1" w:themeTint="F2"/>
          <w:lang w:val="en-US"/>
          <w14:ligatures w14:val="standardContextual"/>
        </w:rPr>
        <w:t>raportimit</w:t>
      </w:r>
      <w:proofErr w:type="spellEnd"/>
      <w:r w:rsidR="00E76D5D">
        <w:rPr>
          <w:color w:val="0D0D0D" w:themeColor="text1" w:themeTint="F2"/>
          <w:lang w:val="en-US"/>
          <w14:ligatures w14:val="standardContextual"/>
        </w:rPr>
        <w:t xml:space="preserve"> të </w:t>
      </w:r>
      <w:proofErr w:type="spellStart"/>
      <w:r w:rsidR="00E76D5D">
        <w:rPr>
          <w:color w:val="0D0D0D" w:themeColor="text1" w:themeTint="F2"/>
          <w:lang w:val="en-US"/>
          <w14:ligatures w14:val="standardContextual"/>
        </w:rPr>
        <w:t>mëparshëm</w:t>
      </w:r>
      <w:proofErr w:type="spellEnd"/>
      <w:r w:rsidR="00E76D5D">
        <w:rPr>
          <w:color w:val="0D0D0D" w:themeColor="text1" w:themeTint="F2"/>
          <w:lang w:val="en-US"/>
          <w14:ligatures w14:val="standardContextual"/>
        </w:rPr>
        <w:t xml:space="preserve"> </w:t>
      </w:r>
      <w:proofErr w:type="spellStart"/>
      <w:r w:rsidR="00E76D5D">
        <w:rPr>
          <w:color w:val="0D0D0D" w:themeColor="text1" w:themeTint="F2"/>
          <w:lang w:val="en-US"/>
          <w14:ligatures w14:val="standardContextual"/>
        </w:rPr>
        <w:t>janar-</w:t>
      </w:r>
      <w:r w:rsidRPr="0050721B">
        <w:rPr>
          <w:color w:val="0D0D0D" w:themeColor="text1" w:themeTint="F2"/>
          <w:lang w:val="en-US"/>
          <w14:ligatures w14:val="standardContextual"/>
        </w:rPr>
        <w:t>prill</w:t>
      </w:r>
      <w:proofErr w:type="spellEnd"/>
      <w:r w:rsidRPr="0050721B">
        <w:rPr>
          <w:color w:val="0D0D0D" w:themeColor="text1" w:themeTint="F2"/>
          <w:lang w:val="en-US"/>
          <w14:ligatures w14:val="standardContextual"/>
        </w:rPr>
        <w:t xml:space="preserve">, </w:t>
      </w:r>
      <w:proofErr w:type="spellStart"/>
      <w:r w:rsidRPr="0050721B">
        <w:rPr>
          <w:color w:val="0D0D0D" w:themeColor="text1" w:themeTint="F2"/>
          <w:lang w:val="en-US"/>
          <w14:ligatures w14:val="standardContextual"/>
        </w:rPr>
        <w:t>në</w:t>
      </w:r>
      <w:proofErr w:type="spellEnd"/>
      <w:r w:rsidRPr="0050721B">
        <w:rPr>
          <w:color w:val="0D0D0D" w:themeColor="text1" w:themeTint="F2"/>
          <w:lang w:val="en-US"/>
          <w14:ligatures w14:val="standardContextual"/>
        </w:rPr>
        <w:t xml:space="preserve"> </w:t>
      </w:r>
      <w:proofErr w:type="spellStart"/>
      <w:r w:rsidRPr="0050721B">
        <w:rPr>
          <w:color w:val="0D0D0D" w:themeColor="text1" w:themeTint="F2"/>
          <w:lang w:val="en-US"/>
          <w14:ligatures w14:val="standardContextual"/>
        </w:rPr>
        <w:t>kuadër</w:t>
      </w:r>
      <w:proofErr w:type="spellEnd"/>
      <w:r w:rsidRPr="0050721B">
        <w:rPr>
          <w:color w:val="0D0D0D" w:themeColor="text1" w:themeTint="F2"/>
          <w:lang w:val="en-US"/>
          <w14:ligatures w14:val="standardContextual"/>
        </w:rPr>
        <w:t xml:space="preserve"> të </w:t>
      </w:r>
      <w:proofErr w:type="spellStart"/>
      <w:r w:rsidRPr="0050721B">
        <w:rPr>
          <w:color w:val="0D0D0D" w:themeColor="text1" w:themeTint="F2"/>
          <w:lang w:val="en-US"/>
          <w14:ligatures w14:val="standardContextual"/>
        </w:rPr>
        <w:t>plotësimit</w:t>
      </w:r>
      <w:proofErr w:type="spellEnd"/>
      <w:r w:rsidRPr="0050721B">
        <w:rPr>
          <w:color w:val="0D0D0D" w:themeColor="text1" w:themeTint="F2"/>
          <w:lang w:val="en-US"/>
          <w14:ligatures w14:val="standardContextual"/>
        </w:rPr>
        <w:t xml:space="preserve"> të </w:t>
      </w:r>
      <w:proofErr w:type="spellStart"/>
      <w:r w:rsidRPr="0050721B">
        <w:rPr>
          <w:color w:val="0D0D0D" w:themeColor="text1" w:themeTint="F2"/>
          <w:lang w:val="en-US"/>
          <w14:ligatures w14:val="standardContextual"/>
        </w:rPr>
        <w:t>detyrimit</w:t>
      </w:r>
      <w:proofErr w:type="spellEnd"/>
      <w:r w:rsidRPr="0050721B">
        <w:rPr>
          <w:color w:val="0D0D0D" w:themeColor="text1" w:themeTint="F2"/>
          <w:lang w:val="en-US"/>
          <w14:ligatures w14:val="standardContextual"/>
        </w:rPr>
        <w:t xml:space="preserve"> </w:t>
      </w:r>
      <w:proofErr w:type="spellStart"/>
      <w:r w:rsidRPr="0050721B">
        <w:rPr>
          <w:color w:val="0D0D0D" w:themeColor="text1" w:themeTint="F2"/>
          <w:lang w:val="en-US"/>
          <w14:ligatures w14:val="standardContextual"/>
        </w:rPr>
        <w:t>te</w:t>
      </w:r>
      <w:proofErr w:type="spellEnd"/>
      <w:r w:rsidRPr="0050721B">
        <w:rPr>
          <w:color w:val="0D0D0D" w:themeColor="text1" w:themeTint="F2"/>
          <w:lang w:val="en-US"/>
          <w14:ligatures w14:val="standardContextual"/>
        </w:rPr>
        <w:t xml:space="preserve"> </w:t>
      </w:r>
      <w:proofErr w:type="spellStart"/>
      <w:r w:rsidRPr="0050721B">
        <w:rPr>
          <w:color w:val="0D0D0D" w:themeColor="text1" w:themeTint="F2"/>
          <w:lang w:val="en-US"/>
          <w14:ligatures w14:val="standardContextual"/>
        </w:rPr>
        <w:t>caktimi</w:t>
      </w:r>
      <w:r w:rsidR="002723A7">
        <w:rPr>
          <w:color w:val="0D0D0D" w:themeColor="text1" w:themeTint="F2"/>
          <w:lang w:val="en-US"/>
          <w14:ligatures w14:val="standardContextual"/>
        </w:rPr>
        <w:t>t</w:t>
      </w:r>
      <w:proofErr w:type="spellEnd"/>
      <w:r w:rsidR="002723A7">
        <w:rPr>
          <w:color w:val="0D0D0D" w:themeColor="text1" w:themeTint="F2"/>
          <w:lang w:val="en-US"/>
          <w14:ligatures w14:val="standardContextual"/>
        </w:rPr>
        <w:t xml:space="preserve"> të </w:t>
      </w:r>
      <w:proofErr w:type="spellStart"/>
      <w:r w:rsidR="002723A7">
        <w:rPr>
          <w:color w:val="0D0D0D" w:themeColor="text1" w:themeTint="F2"/>
          <w:lang w:val="en-US"/>
          <w14:ligatures w14:val="standardContextual"/>
        </w:rPr>
        <w:t>Nëpunësit</w:t>
      </w:r>
      <w:proofErr w:type="spellEnd"/>
      <w:r w:rsidR="002723A7">
        <w:rPr>
          <w:color w:val="0D0D0D" w:themeColor="text1" w:themeTint="F2"/>
          <w:lang w:val="en-US"/>
          <w14:ligatures w14:val="standardContextual"/>
        </w:rPr>
        <w:t xml:space="preserve"> të </w:t>
      </w:r>
      <w:proofErr w:type="spellStart"/>
      <w:r w:rsidR="002723A7">
        <w:rPr>
          <w:color w:val="0D0D0D" w:themeColor="text1" w:themeTint="F2"/>
          <w:lang w:val="en-US"/>
          <w14:ligatures w14:val="standardContextual"/>
        </w:rPr>
        <w:t>Mbrojtjes</w:t>
      </w:r>
      <w:proofErr w:type="spellEnd"/>
      <w:r w:rsidR="002723A7">
        <w:rPr>
          <w:color w:val="0D0D0D" w:themeColor="text1" w:themeTint="F2"/>
          <w:lang w:val="en-US"/>
          <w14:ligatures w14:val="standardContextual"/>
        </w:rPr>
        <w:t xml:space="preserve"> </w:t>
      </w:r>
      <w:proofErr w:type="spellStart"/>
      <w:r w:rsidR="002723A7">
        <w:rPr>
          <w:color w:val="0D0D0D" w:themeColor="text1" w:themeTint="F2"/>
          <w:lang w:val="en-US"/>
          <w14:ligatures w14:val="standardContextual"/>
        </w:rPr>
        <w:t>së</w:t>
      </w:r>
      <w:proofErr w:type="spellEnd"/>
      <w:r w:rsidR="002723A7">
        <w:rPr>
          <w:color w:val="0D0D0D" w:themeColor="text1" w:themeTint="F2"/>
          <w:lang w:val="en-US"/>
          <w14:ligatures w14:val="standardContextual"/>
        </w:rPr>
        <w:t xml:space="preserve"> të </w:t>
      </w:r>
      <w:proofErr w:type="spellStart"/>
      <w:r w:rsidR="002723A7">
        <w:rPr>
          <w:color w:val="0D0D0D" w:themeColor="text1" w:themeTint="F2"/>
          <w:lang w:val="en-US"/>
          <w14:ligatures w14:val="standardContextual"/>
        </w:rPr>
        <w:t>dhënave</w:t>
      </w:r>
      <w:proofErr w:type="spellEnd"/>
      <w:r w:rsidR="002723A7">
        <w:rPr>
          <w:color w:val="0D0D0D" w:themeColor="text1" w:themeTint="F2"/>
          <w:lang w:val="en-US"/>
          <w14:ligatures w14:val="standardContextual"/>
        </w:rPr>
        <w:t xml:space="preserve"> </w:t>
      </w:r>
      <w:proofErr w:type="spellStart"/>
      <w:r w:rsidR="002723A7">
        <w:rPr>
          <w:color w:val="0D0D0D" w:themeColor="text1" w:themeTint="F2"/>
          <w:lang w:val="en-US"/>
          <w14:ligatures w14:val="standardContextual"/>
        </w:rPr>
        <w:t>personale</w:t>
      </w:r>
      <w:proofErr w:type="spellEnd"/>
      <w:r w:rsidR="002723A7">
        <w:rPr>
          <w:color w:val="0D0D0D" w:themeColor="text1" w:themeTint="F2"/>
          <w:lang w:val="en-US"/>
          <w14:ligatures w14:val="standardContextual"/>
        </w:rPr>
        <w:t xml:space="preserve"> (DPO) </w:t>
      </w:r>
      <w:proofErr w:type="spellStart"/>
      <w:r w:rsidR="002723A7">
        <w:rPr>
          <w:color w:val="0D0D0D" w:themeColor="text1" w:themeTint="F2"/>
          <w:lang w:val="en-US"/>
          <w14:ligatures w14:val="standardContextual"/>
        </w:rPr>
        <w:t>vlen</w:t>
      </w:r>
      <w:proofErr w:type="spellEnd"/>
      <w:r w:rsidRPr="0050721B">
        <w:rPr>
          <w:color w:val="0D0D0D" w:themeColor="text1" w:themeTint="F2"/>
          <w:lang w:val="en-US"/>
          <w14:ligatures w14:val="standardContextual"/>
        </w:rPr>
        <w:t xml:space="preserve"> të </w:t>
      </w:r>
      <w:proofErr w:type="spellStart"/>
      <w:r w:rsidRPr="0050721B">
        <w:rPr>
          <w:color w:val="0D0D0D" w:themeColor="text1" w:themeTint="F2"/>
          <w:lang w:val="en-US"/>
          <w14:ligatures w14:val="standardContextual"/>
        </w:rPr>
        <w:t>evidentohen</w:t>
      </w:r>
      <w:proofErr w:type="spellEnd"/>
      <w:r w:rsidRPr="0050721B">
        <w:rPr>
          <w:color w:val="0D0D0D" w:themeColor="text1" w:themeTint="F2"/>
          <w:lang w:val="en-US"/>
          <w14:ligatures w14:val="standardContextual"/>
        </w:rPr>
        <w:t xml:space="preserve"> </w:t>
      </w:r>
      <w:proofErr w:type="spellStart"/>
      <w:r w:rsidRPr="0050721B">
        <w:rPr>
          <w:color w:val="0D0D0D" w:themeColor="text1" w:themeTint="F2"/>
          <w:lang w:val="en-US"/>
          <w14:ligatures w14:val="standardContextual"/>
        </w:rPr>
        <w:t>takimet</w:t>
      </w:r>
      <w:proofErr w:type="spellEnd"/>
      <w:r w:rsidRPr="0050721B">
        <w:rPr>
          <w:color w:val="0D0D0D" w:themeColor="text1" w:themeTint="F2"/>
          <w:lang w:val="en-US"/>
          <w14:ligatures w14:val="standardContextual"/>
        </w:rPr>
        <w:t xml:space="preserve"> e </w:t>
      </w:r>
      <w:proofErr w:type="spellStart"/>
      <w:r w:rsidRPr="0050721B">
        <w:rPr>
          <w:color w:val="0D0D0D" w:themeColor="text1" w:themeTint="F2"/>
          <w:lang w:val="en-US"/>
          <w14:ligatures w14:val="standardContextual"/>
        </w:rPr>
        <w:t>orgnizuara</w:t>
      </w:r>
      <w:proofErr w:type="spellEnd"/>
      <w:r w:rsidRPr="0050721B">
        <w:rPr>
          <w:color w:val="0D0D0D" w:themeColor="text1" w:themeTint="F2"/>
          <w:lang w:val="en-US"/>
          <w14:ligatures w14:val="standardContextual"/>
        </w:rPr>
        <w:t xml:space="preserve"> lidhur me forcimin e rolit të DPO, të </w:t>
      </w:r>
      <w:proofErr w:type="spellStart"/>
      <w:r w:rsidRPr="0050721B">
        <w:rPr>
          <w:color w:val="0D0D0D" w:themeColor="text1" w:themeTint="F2"/>
          <w:lang w:val="en-US"/>
          <w14:ligatures w14:val="standardContextual"/>
        </w:rPr>
        <w:t>caktuar</w:t>
      </w:r>
      <w:proofErr w:type="spellEnd"/>
      <w:r w:rsidRPr="0050721B">
        <w:rPr>
          <w:color w:val="0D0D0D" w:themeColor="text1" w:themeTint="F2"/>
          <w:lang w:val="en-US"/>
          <w14:ligatures w14:val="standardContextual"/>
        </w:rPr>
        <w:t xml:space="preserve"> </w:t>
      </w:r>
      <w:proofErr w:type="spellStart"/>
      <w:r w:rsidRPr="0050721B">
        <w:rPr>
          <w:color w:val="0D0D0D" w:themeColor="text1" w:themeTint="F2"/>
          <w:lang w:val="en-US"/>
          <w14:ligatures w14:val="standardContextual"/>
        </w:rPr>
        <w:t>në</w:t>
      </w:r>
      <w:proofErr w:type="spellEnd"/>
      <w:r w:rsidRPr="0050721B">
        <w:rPr>
          <w:color w:val="0D0D0D" w:themeColor="text1" w:themeTint="F2"/>
          <w:lang w:val="en-US"/>
          <w14:ligatures w14:val="standardContextual"/>
        </w:rPr>
        <w:t xml:space="preserve"> </w:t>
      </w:r>
      <w:proofErr w:type="spellStart"/>
      <w:r w:rsidRPr="0050721B">
        <w:rPr>
          <w:color w:val="0D0D0D" w:themeColor="text1" w:themeTint="F2"/>
          <w:lang w:val="en-US"/>
          <w14:ligatures w14:val="standardContextual"/>
        </w:rPr>
        <w:t>ko</w:t>
      </w:r>
      <w:r w:rsidR="002723A7">
        <w:rPr>
          <w:color w:val="0D0D0D" w:themeColor="text1" w:themeTint="F2"/>
          <w:lang w:val="en-US"/>
          <w14:ligatures w14:val="standardContextual"/>
        </w:rPr>
        <w:t>ntrolluesit</w:t>
      </w:r>
      <w:proofErr w:type="spellEnd"/>
      <w:r w:rsidR="002723A7">
        <w:rPr>
          <w:color w:val="0D0D0D" w:themeColor="text1" w:themeTint="F2"/>
          <w:lang w:val="en-US"/>
          <w14:ligatures w14:val="standardContextual"/>
        </w:rPr>
        <w:t xml:space="preserve"> </w:t>
      </w:r>
      <w:proofErr w:type="spellStart"/>
      <w:r w:rsidR="002723A7">
        <w:rPr>
          <w:color w:val="0D0D0D" w:themeColor="text1" w:themeTint="F2"/>
          <w:lang w:val="en-US"/>
          <w14:ligatures w14:val="standardContextual"/>
        </w:rPr>
        <w:t>publik</w:t>
      </w:r>
      <w:proofErr w:type="spellEnd"/>
      <w:r w:rsidR="002723A7">
        <w:rPr>
          <w:color w:val="0D0D0D" w:themeColor="text1" w:themeTint="F2"/>
          <w:lang w:val="en-US"/>
          <w14:ligatures w14:val="standardContextual"/>
        </w:rPr>
        <w:t xml:space="preserve"> e </w:t>
      </w:r>
      <w:proofErr w:type="spellStart"/>
      <w:r w:rsidR="002723A7">
        <w:rPr>
          <w:color w:val="0D0D0D" w:themeColor="text1" w:themeTint="F2"/>
          <w:lang w:val="en-US"/>
          <w14:ligatures w14:val="standardContextual"/>
        </w:rPr>
        <w:t>privat</w:t>
      </w:r>
      <w:proofErr w:type="spellEnd"/>
      <w:r w:rsidR="002723A7">
        <w:rPr>
          <w:color w:val="0D0D0D" w:themeColor="text1" w:themeTint="F2"/>
          <w:lang w:val="en-US"/>
          <w14:ligatures w14:val="standardContextual"/>
        </w:rPr>
        <w:t xml:space="preserve">, duke </w:t>
      </w:r>
      <w:proofErr w:type="spellStart"/>
      <w:r w:rsidR="002723A7">
        <w:rPr>
          <w:color w:val="0D0D0D" w:themeColor="text1" w:themeTint="F2"/>
          <w:lang w:val="en-US"/>
          <w14:ligatures w14:val="standardContextual"/>
        </w:rPr>
        <w:t>krijuar</w:t>
      </w:r>
      <w:proofErr w:type="spellEnd"/>
      <w:r w:rsidR="002723A7">
        <w:rPr>
          <w:color w:val="0D0D0D" w:themeColor="text1" w:themeTint="F2"/>
          <w:lang w:val="en-US"/>
          <w14:ligatures w14:val="standardContextual"/>
        </w:rPr>
        <w:t xml:space="preserve"> </w:t>
      </w:r>
      <w:proofErr w:type="spellStart"/>
      <w:r w:rsidR="002723A7">
        <w:rPr>
          <w:color w:val="0D0D0D" w:themeColor="text1" w:themeTint="F2"/>
          <w:lang w:val="en-US"/>
          <w14:ligatures w14:val="standardContextual"/>
        </w:rPr>
        <w:t>nje</w:t>
      </w:r>
      <w:proofErr w:type="spellEnd"/>
      <w:r w:rsidR="002723A7">
        <w:rPr>
          <w:color w:val="0D0D0D" w:themeColor="text1" w:themeTint="F2"/>
          <w:lang w:val="en-US"/>
          <w14:ligatures w14:val="standardContextual"/>
        </w:rPr>
        <w:t xml:space="preserve"> </w:t>
      </w:r>
      <w:proofErr w:type="spellStart"/>
      <w:r w:rsidR="002723A7">
        <w:rPr>
          <w:color w:val="0D0D0D" w:themeColor="text1" w:themeTint="F2"/>
          <w:lang w:val="en-US"/>
          <w14:ligatures w14:val="standardContextual"/>
        </w:rPr>
        <w:t>rrjet</w:t>
      </w:r>
      <w:proofErr w:type="spellEnd"/>
      <w:r w:rsidR="002723A7">
        <w:rPr>
          <w:color w:val="0D0D0D" w:themeColor="text1" w:themeTint="F2"/>
          <w:lang w:val="en-US"/>
          <w14:ligatures w14:val="standardContextual"/>
        </w:rPr>
        <w:t xml:space="preserve"> </w:t>
      </w:r>
      <w:proofErr w:type="spellStart"/>
      <w:r w:rsidR="002723A7">
        <w:rPr>
          <w:color w:val="0D0D0D" w:themeColor="text1" w:themeTint="F2"/>
          <w:lang w:val="en-US"/>
          <w14:ligatures w14:val="standardContextual"/>
        </w:rPr>
        <w:t>bashkëp</w:t>
      </w:r>
      <w:r w:rsidR="00D37F88" w:rsidRPr="0050721B">
        <w:rPr>
          <w:color w:val="0D0D0D" w:themeColor="text1" w:themeTint="F2"/>
          <w:lang w:val="en-US"/>
          <w14:ligatures w14:val="standardContextual"/>
        </w:rPr>
        <w:t>unimi</w:t>
      </w:r>
      <w:proofErr w:type="spellEnd"/>
      <w:r w:rsidR="00D37F88" w:rsidRPr="0050721B">
        <w:rPr>
          <w:color w:val="0D0D0D" w:themeColor="text1" w:themeTint="F2"/>
          <w:lang w:val="en-US"/>
          <w14:ligatures w14:val="standardContextual"/>
        </w:rPr>
        <w:t xml:space="preserve"> midis </w:t>
      </w:r>
      <w:proofErr w:type="spellStart"/>
      <w:r w:rsidR="00D37F88" w:rsidRPr="0050721B">
        <w:rPr>
          <w:color w:val="0D0D0D" w:themeColor="text1" w:themeTint="F2"/>
          <w:lang w:val="en-US"/>
          <w14:ligatures w14:val="standardContextual"/>
        </w:rPr>
        <w:t>tyre</w:t>
      </w:r>
      <w:proofErr w:type="spellEnd"/>
      <w:r w:rsidR="00D37F88" w:rsidRPr="0050721B">
        <w:rPr>
          <w:color w:val="0D0D0D" w:themeColor="text1" w:themeTint="F2"/>
          <w:lang w:val="en-US"/>
          <w14:ligatures w14:val="standardContextual"/>
        </w:rPr>
        <w:t xml:space="preserve"> dhe </w:t>
      </w:r>
      <w:proofErr w:type="spellStart"/>
      <w:r w:rsidR="00D37F88" w:rsidRPr="0050721B">
        <w:rPr>
          <w:color w:val="0D0D0D" w:themeColor="text1" w:themeTint="F2"/>
          <w:lang w:val="en-US"/>
          <w14:ligatures w14:val="standardContextual"/>
        </w:rPr>
        <w:t>Zyrës</w:t>
      </w:r>
      <w:proofErr w:type="spellEnd"/>
      <w:r w:rsidR="00D37F88" w:rsidRPr="0050721B">
        <w:rPr>
          <w:color w:val="0D0D0D" w:themeColor="text1" w:themeTint="F2"/>
          <w:lang w:val="en-US"/>
          <w14:ligatures w14:val="standardContextual"/>
        </w:rPr>
        <w:t xml:space="preserve"> </w:t>
      </w:r>
      <w:proofErr w:type="spellStart"/>
      <w:r w:rsidR="00D37F88" w:rsidRPr="0050721B">
        <w:rPr>
          <w:color w:val="0D0D0D" w:themeColor="text1" w:themeTint="F2"/>
          <w:lang w:val="en-US"/>
          <w14:ligatures w14:val="standardContextual"/>
        </w:rPr>
        <w:t>së</w:t>
      </w:r>
      <w:proofErr w:type="spellEnd"/>
      <w:r w:rsidR="00D37F88" w:rsidRPr="0050721B">
        <w:rPr>
          <w:color w:val="0D0D0D" w:themeColor="text1" w:themeTint="F2"/>
          <w:lang w:val="en-US"/>
          <w14:ligatures w14:val="standardContextual"/>
        </w:rPr>
        <w:t xml:space="preserve"> </w:t>
      </w:r>
      <w:proofErr w:type="spellStart"/>
      <w:r w:rsidR="00D37F88" w:rsidRPr="0050721B">
        <w:rPr>
          <w:color w:val="0D0D0D" w:themeColor="text1" w:themeTint="F2"/>
          <w:lang w:val="en-US"/>
          <w14:ligatures w14:val="standardContextual"/>
        </w:rPr>
        <w:t>Komisionerit</w:t>
      </w:r>
      <w:proofErr w:type="spellEnd"/>
      <w:r w:rsidR="00D37F88" w:rsidRPr="0050721B">
        <w:rPr>
          <w:color w:val="0D0D0D" w:themeColor="text1" w:themeTint="F2"/>
          <w:lang w:val="en-US"/>
          <w14:ligatures w14:val="standardContextual"/>
        </w:rPr>
        <w:t xml:space="preserve">. Ne kete kuader jane organizuar trajnime dhe takime të shumta, na bashkepunim edhe me organizma te huaj si </w:t>
      </w:r>
      <w:r w:rsidR="00D37F88" w:rsidRPr="0050721B">
        <w:rPr>
          <w:color w:val="0D0D0D" w:themeColor="text1" w:themeTint="F2"/>
        </w:rPr>
        <w:t xml:space="preserve">Organizata Shqiptare për Zhvillim të Qëndrueshëm (ASDO), zhvilloi trajnimin “Training of Trainers” (ToT), në kuadër të projektit </w:t>
      </w:r>
      <w:r w:rsidR="00D37F88" w:rsidRPr="0050721B">
        <w:rPr>
          <w:rStyle w:val="Strong"/>
          <w:color w:val="0D0D0D" w:themeColor="text1" w:themeTint="F2"/>
        </w:rPr>
        <w:t>“Safe Data Albania”</w:t>
      </w:r>
      <w:r w:rsidR="00D37F88" w:rsidRPr="0050721B">
        <w:rPr>
          <w:color w:val="0D0D0D" w:themeColor="text1" w:themeTint="F2"/>
        </w:rPr>
        <w:t xml:space="preserve">, me mbështetjen e programit SMART Balkans të financuar nga Qeveria e Norvegjisë. </w:t>
      </w:r>
    </w:p>
    <w:p w:rsidR="00D37F88" w:rsidRPr="0050721B" w:rsidRDefault="002723A7" w:rsidP="0050721B">
      <w:pPr>
        <w:spacing w:after="160" w:line="276" w:lineRule="auto"/>
        <w:jc w:val="both"/>
        <w:rPr>
          <w:color w:val="0D0D0D" w:themeColor="text1" w:themeTint="F2"/>
        </w:rPr>
      </w:pPr>
      <w:r>
        <w:rPr>
          <w:color w:val="0D0D0D" w:themeColor="text1" w:themeTint="F2"/>
        </w:rPr>
        <w:t xml:space="preserve">Ndërkohë janë </w:t>
      </w:r>
      <w:r w:rsidR="00E76D5D">
        <w:rPr>
          <w:color w:val="0D0D0D" w:themeColor="text1" w:themeTint="F2"/>
        </w:rPr>
        <w:t xml:space="preserve">organizuar aktivitete </w:t>
      </w:r>
      <w:r w:rsidR="00D37F88" w:rsidRPr="0050721B">
        <w:rPr>
          <w:color w:val="0D0D0D" w:themeColor="text1" w:themeTint="F2"/>
        </w:rPr>
        <w:t>mbi Rolin dhe Detyrat e Oficerit</w:t>
      </w:r>
      <w:r>
        <w:rPr>
          <w:color w:val="0D0D0D" w:themeColor="text1" w:themeTint="F2"/>
        </w:rPr>
        <w:t xml:space="preserve"> për Mbrojtjen e të Dhënave”,</w:t>
      </w:r>
      <w:r w:rsidR="00E76D5D">
        <w:rPr>
          <w:color w:val="0D0D0D" w:themeColor="text1" w:themeTint="F2"/>
        </w:rPr>
        <w:t xml:space="preserve">me qëllim sqarimin dhe </w:t>
      </w:r>
      <w:r w:rsidR="00D37F88" w:rsidRPr="0050721B">
        <w:rPr>
          <w:color w:val="0D0D0D" w:themeColor="text1" w:themeTint="F2"/>
        </w:rPr>
        <w:t>thellimin e njohuritë mbi detyrat, kompetencat dhe përgjegjësitë e DPO-ve në përputhje me ligjin e ri, duke nxitur zbatimin k</w:t>
      </w:r>
      <w:r w:rsidR="00E76D5D">
        <w:rPr>
          <w:color w:val="0D0D0D" w:themeColor="text1" w:themeTint="F2"/>
        </w:rPr>
        <w:t xml:space="preserve">orrekt të dispozitave ligjore. </w:t>
      </w:r>
      <w:r w:rsidR="00D37F88" w:rsidRPr="0050721B">
        <w:rPr>
          <w:color w:val="0D0D0D" w:themeColor="text1" w:themeTint="F2"/>
        </w:rPr>
        <w:t>Zyra e Komisionerit në bashkëpunim me Institucionin e Arsimit të Lartë “Kolegji Universitar i Biznesit”, kanë nisur në mu</w:t>
      </w:r>
      <w:r w:rsidR="00E76D5D">
        <w:rPr>
          <w:color w:val="0D0D0D" w:themeColor="text1" w:themeTint="F2"/>
        </w:rPr>
        <w:t xml:space="preserve">ajin korrik por edhe në vijim trajnime </w:t>
      </w:r>
      <w:r w:rsidR="00D37F88" w:rsidRPr="0050721B">
        <w:rPr>
          <w:color w:val="0D0D0D" w:themeColor="text1" w:themeTint="F2"/>
        </w:rPr>
        <w:t>për formimin dhe certif</w:t>
      </w:r>
      <w:r w:rsidR="00EE4D72" w:rsidRPr="0050721B">
        <w:rPr>
          <w:color w:val="0D0D0D" w:themeColor="text1" w:themeTint="F2"/>
        </w:rPr>
        <w:t xml:space="preserve">ikimin profesional të DPO-ve. </w:t>
      </w:r>
      <w:r w:rsidR="00E76D5D">
        <w:rPr>
          <w:color w:val="0D0D0D" w:themeColor="text1" w:themeTint="F2"/>
        </w:rPr>
        <w:t xml:space="preserve">Trajnimet  kanë për qëllim përgatitjen e </w:t>
      </w:r>
      <w:r w:rsidR="00D37F88" w:rsidRPr="0050721B">
        <w:rPr>
          <w:rStyle w:val="Strong"/>
          <w:color w:val="0D0D0D" w:themeColor="text1" w:themeTint="F2"/>
        </w:rPr>
        <w:t>specialistëve të kualifikuar</w:t>
      </w:r>
      <w:r w:rsidR="00D37F88" w:rsidRPr="0050721B">
        <w:rPr>
          <w:color w:val="0D0D0D" w:themeColor="text1" w:themeTint="F2"/>
        </w:rPr>
        <w:t xml:space="preserve">, përgjegjës për mbrojtjen e të dhënave në institucionet publike dhe subjektet private. Pas përfundimit me sukses të programit, </w:t>
      </w:r>
      <w:r w:rsidR="00D10D69" w:rsidRPr="0050721B">
        <w:rPr>
          <w:rStyle w:val="Strong"/>
          <w:color w:val="0D0D0D" w:themeColor="text1" w:themeTint="F2"/>
        </w:rPr>
        <w:t xml:space="preserve"> </w:t>
      </w:r>
      <w:r w:rsidR="00D37F88" w:rsidRPr="0050721B">
        <w:rPr>
          <w:rStyle w:val="Strong"/>
          <w:color w:val="0D0D0D" w:themeColor="text1" w:themeTint="F2"/>
        </w:rPr>
        <w:t>pjesëmarrës</w:t>
      </w:r>
      <w:r w:rsidR="00D10D69" w:rsidRPr="0050721B">
        <w:rPr>
          <w:rStyle w:val="Strong"/>
          <w:color w:val="0D0D0D" w:themeColor="text1" w:themeTint="F2"/>
        </w:rPr>
        <w:t xml:space="preserve">it </w:t>
      </w:r>
      <w:r w:rsidR="00E76D5D">
        <w:rPr>
          <w:color w:val="0D0D0D" w:themeColor="text1" w:themeTint="F2"/>
        </w:rPr>
        <w:t>janë pajisur</w:t>
      </w:r>
      <w:r w:rsidR="00D37F88" w:rsidRPr="0050721B">
        <w:rPr>
          <w:color w:val="0D0D0D" w:themeColor="text1" w:themeTint="F2"/>
        </w:rPr>
        <w:t xml:space="preserve"> me </w:t>
      </w:r>
      <w:r w:rsidR="00D37F88" w:rsidRPr="0050721B">
        <w:rPr>
          <w:rStyle w:val="Strong"/>
          <w:color w:val="0D0D0D" w:themeColor="text1" w:themeTint="F2"/>
        </w:rPr>
        <w:t>certifikata profesionale</w:t>
      </w:r>
      <w:r w:rsidR="00D37F88" w:rsidRPr="0050721B">
        <w:rPr>
          <w:b/>
          <w:color w:val="0D0D0D" w:themeColor="text1" w:themeTint="F2"/>
        </w:rPr>
        <w:t>,</w:t>
      </w:r>
      <w:r w:rsidR="00D37F88" w:rsidRPr="0050721B">
        <w:rPr>
          <w:b/>
          <w:bCs/>
          <w:color w:val="0D0D0D" w:themeColor="text1" w:themeTint="F2"/>
        </w:rPr>
        <w:t xml:space="preserve"> </w:t>
      </w:r>
      <w:r w:rsidR="00D37F88" w:rsidRPr="0050721B">
        <w:rPr>
          <w:color w:val="0D0D0D" w:themeColor="text1" w:themeTint="F2"/>
        </w:rPr>
        <w:t>të vlefshme për ushtrimin e funksionit të DPO në institucionin përkatës</w:t>
      </w:r>
      <w:r w:rsidR="00EE4D72" w:rsidRPr="0050721B">
        <w:rPr>
          <w:color w:val="0D0D0D" w:themeColor="text1" w:themeTint="F2"/>
        </w:rPr>
        <w:t>.</w:t>
      </w:r>
    </w:p>
    <w:p w:rsidR="004065F0" w:rsidRPr="0050721B" w:rsidRDefault="00E76D5D" w:rsidP="0050721B">
      <w:pPr>
        <w:shd w:val="clear" w:color="auto" w:fill="FFFFFF" w:themeFill="background1"/>
        <w:spacing w:after="160" w:line="276" w:lineRule="auto"/>
        <w:jc w:val="both"/>
        <w:rPr>
          <w:color w:val="0D0D0D" w:themeColor="text1" w:themeTint="F2"/>
          <w:lang w:val="en-US"/>
          <w14:ligatures w14:val="standardContextual"/>
        </w:rPr>
      </w:pPr>
      <w:r>
        <w:rPr>
          <w:color w:val="0D0D0D" w:themeColor="text1" w:themeTint="F2"/>
          <w:lang w:val="en-US"/>
          <w14:ligatures w14:val="standardContextual"/>
        </w:rPr>
        <w:t xml:space="preserve">Të </w:t>
      </w:r>
      <w:proofErr w:type="spellStart"/>
      <w:r>
        <w:rPr>
          <w:color w:val="0D0D0D" w:themeColor="text1" w:themeTint="F2"/>
          <w:lang w:val="en-US"/>
          <w14:ligatures w14:val="standardContextual"/>
        </w:rPr>
        <w:t>gjitha</w:t>
      </w:r>
      <w:proofErr w:type="spellEnd"/>
      <w:r>
        <w:rPr>
          <w:color w:val="0D0D0D" w:themeColor="text1" w:themeTint="F2"/>
          <w:lang w:val="en-US"/>
          <w14:ligatures w14:val="standardContextual"/>
        </w:rPr>
        <w:t xml:space="preserve"> </w:t>
      </w:r>
      <w:proofErr w:type="spellStart"/>
      <w:r>
        <w:rPr>
          <w:color w:val="0D0D0D" w:themeColor="text1" w:themeTint="F2"/>
          <w:lang w:val="en-US"/>
          <w14:ligatures w14:val="standardContextual"/>
        </w:rPr>
        <w:t>aktivitetet</w:t>
      </w:r>
      <w:proofErr w:type="spellEnd"/>
      <w:r w:rsidR="0093545A" w:rsidRPr="0050721B">
        <w:rPr>
          <w:color w:val="0D0D0D" w:themeColor="text1" w:themeTint="F2"/>
          <w:lang w:val="en-US"/>
          <w14:ligatures w14:val="standardContextual"/>
        </w:rPr>
        <w:t xml:space="preserve"> e </w:t>
      </w:r>
      <w:proofErr w:type="spellStart"/>
      <w:r w:rsidR="0093545A" w:rsidRPr="0050721B">
        <w:rPr>
          <w:color w:val="0D0D0D" w:themeColor="text1" w:themeTint="F2"/>
          <w:lang w:val="en-US"/>
          <w14:ligatures w14:val="standardContextual"/>
        </w:rPr>
        <w:t>Zyrës</w:t>
      </w:r>
      <w:proofErr w:type="spellEnd"/>
      <w:r w:rsidR="0093545A" w:rsidRPr="0050721B">
        <w:rPr>
          <w:color w:val="0D0D0D" w:themeColor="text1" w:themeTint="F2"/>
          <w:lang w:val="en-US"/>
          <w14:ligatures w14:val="standardContextual"/>
        </w:rPr>
        <w:t xml:space="preserve"> </w:t>
      </w:r>
      <w:proofErr w:type="spellStart"/>
      <w:r w:rsidR="0093545A" w:rsidRPr="0050721B">
        <w:rPr>
          <w:color w:val="0D0D0D" w:themeColor="text1" w:themeTint="F2"/>
          <w:lang w:val="en-US"/>
          <w14:ligatures w14:val="standardContextual"/>
        </w:rPr>
        <w:t>së</w:t>
      </w:r>
      <w:proofErr w:type="spellEnd"/>
      <w:r w:rsidR="0093545A" w:rsidRPr="0050721B">
        <w:rPr>
          <w:color w:val="0D0D0D" w:themeColor="text1" w:themeTint="F2"/>
          <w:lang w:val="en-US"/>
          <w14:ligatures w14:val="standardContextual"/>
        </w:rPr>
        <w:t xml:space="preserve"> </w:t>
      </w:r>
      <w:proofErr w:type="spellStart"/>
      <w:r w:rsidR="0093545A" w:rsidRPr="0050721B">
        <w:rPr>
          <w:color w:val="0D0D0D" w:themeColor="text1" w:themeTint="F2"/>
          <w:lang w:val="en-US"/>
          <w14:ligatures w14:val="standardContextual"/>
        </w:rPr>
        <w:t>Komisionerit</w:t>
      </w:r>
      <w:proofErr w:type="spellEnd"/>
      <w:r w:rsidR="0093545A" w:rsidRPr="0050721B">
        <w:rPr>
          <w:color w:val="0D0D0D" w:themeColor="text1" w:themeTint="F2"/>
          <w:lang w:val="en-US"/>
          <w14:ligatures w14:val="standardContextual"/>
        </w:rPr>
        <w:t xml:space="preserve">, </w:t>
      </w:r>
      <w:proofErr w:type="spellStart"/>
      <w:r w:rsidR="0093545A" w:rsidRPr="0050721B">
        <w:rPr>
          <w:color w:val="0D0D0D" w:themeColor="text1" w:themeTint="F2"/>
          <w:lang w:val="en-US"/>
          <w14:ligatures w14:val="standardContextual"/>
        </w:rPr>
        <w:t>i</w:t>
      </w:r>
      <w:proofErr w:type="spellEnd"/>
      <w:r w:rsidR="00A017C8" w:rsidRPr="0050721B">
        <w:rPr>
          <w:color w:val="0D0D0D" w:themeColor="text1" w:themeTint="F2"/>
          <w:lang w:val="en-US"/>
          <w14:ligatures w14:val="standardContextual"/>
        </w:rPr>
        <w:t xml:space="preserve"> </w:t>
      </w:r>
      <w:proofErr w:type="spellStart"/>
      <w:r w:rsidR="00A017C8" w:rsidRPr="0050721B">
        <w:rPr>
          <w:color w:val="0D0D0D" w:themeColor="text1" w:themeTint="F2"/>
          <w:lang w:val="en-US"/>
          <w14:ligatures w14:val="standardContextual"/>
        </w:rPr>
        <w:t>gjeni</w:t>
      </w:r>
      <w:proofErr w:type="spellEnd"/>
      <w:r w:rsidR="00A017C8" w:rsidRPr="0050721B">
        <w:rPr>
          <w:color w:val="0D0D0D" w:themeColor="text1" w:themeTint="F2"/>
          <w:lang w:val="en-US"/>
          <w14:ligatures w14:val="standardContextual"/>
        </w:rPr>
        <w:t xml:space="preserve"> të publikuar në faqen zyrtare </w:t>
      </w:r>
      <w:hyperlink r:id="rId10" w:history="1">
        <w:r w:rsidR="00A017C8" w:rsidRPr="0050721B">
          <w:rPr>
            <w:rStyle w:val="Hyperlink"/>
            <w:color w:val="0D0D0D" w:themeColor="text1" w:themeTint="F2"/>
            <w:lang w:val="en-US"/>
            <w14:ligatures w14:val="standardContextual"/>
          </w:rPr>
          <w:t>www.idp.al</w:t>
        </w:r>
      </w:hyperlink>
      <w:r w:rsidR="00A017C8" w:rsidRPr="0050721B">
        <w:rPr>
          <w:color w:val="0D0D0D" w:themeColor="text1" w:themeTint="F2"/>
          <w:lang w:val="en-US"/>
          <w14:ligatures w14:val="standardContextual"/>
        </w:rPr>
        <w:t xml:space="preserve">  </w:t>
      </w:r>
    </w:p>
    <w:p w:rsidR="00DB519C" w:rsidRPr="0050721B" w:rsidRDefault="004065F0" w:rsidP="0050721B">
      <w:pPr>
        <w:pStyle w:val="NormalWeb"/>
        <w:shd w:val="clear" w:color="auto" w:fill="FFFFFF"/>
        <w:spacing w:before="0" w:beforeAutospacing="0" w:after="0" w:afterAutospacing="0" w:line="276" w:lineRule="auto"/>
        <w:jc w:val="both"/>
        <w:textAlignment w:val="baseline"/>
        <w:rPr>
          <w:b/>
          <w:color w:val="0D0D0D"/>
        </w:rPr>
      </w:pPr>
      <w:r w:rsidRPr="0050721B">
        <w:rPr>
          <w:color w:val="0D0D0D"/>
        </w:rPr>
        <w:t xml:space="preserve">Një tjetër aktivitet që mbështet të dy shtyllat për garantimin e dy të drejtave </w:t>
      </w:r>
      <w:r w:rsidRPr="0050721B">
        <w:rPr>
          <w:b/>
          <w:color w:val="0D0D0D"/>
        </w:rPr>
        <w:t>është Shërbimi ligjor.</w:t>
      </w:r>
    </w:p>
    <w:p w:rsidR="004065F0" w:rsidRPr="0050721B" w:rsidRDefault="00E76D5D" w:rsidP="0050721B">
      <w:pPr>
        <w:shd w:val="clear" w:color="auto" w:fill="FFFFFF" w:themeFill="background1"/>
        <w:spacing w:after="160" w:line="276" w:lineRule="auto"/>
        <w:jc w:val="both"/>
        <w:rPr>
          <w:lang w:val="en-US"/>
          <w14:ligatures w14:val="standardContextual"/>
        </w:rPr>
      </w:pPr>
      <w:r>
        <w:rPr>
          <w:shd w:val="clear" w:color="auto" w:fill="FFFFFF"/>
        </w:rPr>
        <w:t xml:space="preserve">Gjatë periudhës së raportimit, </w:t>
      </w:r>
      <w:r w:rsidR="004065F0" w:rsidRPr="0050721B">
        <w:rPr>
          <w:shd w:val="clear" w:color="auto" w:fill="FFFFFF"/>
        </w:rPr>
        <w:t>janë evidentuar realizimet për proceset si më poshtë:</w:t>
      </w:r>
    </w:p>
    <w:p w:rsidR="004065F0" w:rsidRPr="0050721B" w:rsidRDefault="00935C0A" w:rsidP="0050721B">
      <w:pPr>
        <w:pStyle w:val="ListParagraph"/>
        <w:numPr>
          <w:ilvl w:val="0"/>
          <w:numId w:val="7"/>
        </w:numPr>
        <w:tabs>
          <w:tab w:val="left" w:pos="142"/>
        </w:tabs>
        <w:ind w:right="206"/>
        <w:jc w:val="both"/>
        <w:rPr>
          <w:rFonts w:ascii="Times New Roman" w:hAnsi="Times New Roman"/>
          <w:b/>
          <w:i/>
          <w:color w:val="000000"/>
          <w:sz w:val="24"/>
          <w:szCs w:val="24"/>
        </w:rPr>
      </w:pPr>
      <w:r w:rsidRPr="0050721B">
        <w:rPr>
          <w:rFonts w:ascii="Times New Roman" w:hAnsi="Times New Roman"/>
          <w:b/>
          <w:i/>
          <w:color w:val="000000"/>
          <w:sz w:val="24"/>
          <w:szCs w:val="24"/>
        </w:rPr>
        <w:t xml:space="preserve">Hartimi i dokumenteve </w:t>
      </w:r>
    </w:p>
    <w:p w:rsidR="00DF0CF8" w:rsidRPr="0050721B" w:rsidRDefault="00DF0CF8" w:rsidP="0050721B">
      <w:pPr>
        <w:pStyle w:val="ListParagraph"/>
        <w:tabs>
          <w:tab w:val="left" w:pos="142"/>
        </w:tabs>
        <w:ind w:right="206"/>
        <w:jc w:val="both"/>
        <w:rPr>
          <w:rFonts w:ascii="Times New Roman" w:hAnsi="Times New Roman"/>
          <w:b/>
          <w:i/>
          <w:color w:val="000000"/>
          <w:sz w:val="24"/>
          <w:szCs w:val="24"/>
        </w:rPr>
      </w:pPr>
    </w:p>
    <w:p w:rsidR="00935C0A" w:rsidRPr="0050721B" w:rsidRDefault="00935C0A" w:rsidP="0050721B">
      <w:pPr>
        <w:pStyle w:val="ListParagraph"/>
        <w:numPr>
          <w:ilvl w:val="0"/>
          <w:numId w:val="37"/>
        </w:numPr>
        <w:jc w:val="both"/>
        <w:rPr>
          <w:rFonts w:ascii="Times New Roman" w:hAnsi="Times New Roman"/>
          <w:sz w:val="24"/>
          <w:szCs w:val="24"/>
        </w:rPr>
      </w:pPr>
      <w:r w:rsidRPr="0050721B">
        <w:rPr>
          <w:rFonts w:ascii="Times New Roman" w:hAnsi="Times New Roman"/>
          <w:sz w:val="24"/>
          <w:szCs w:val="24"/>
        </w:rPr>
        <w:t>Është hartuar Raporti Vjetor 2024 mbi veprimtarinë e Zyrës së Komisionerit për të Drejtën e Informimit dhe Mbrojtjen e të Dhënave Personale drejtuar Kuvendit.</w:t>
      </w:r>
    </w:p>
    <w:p w:rsidR="00935C0A" w:rsidRPr="0050721B" w:rsidRDefault="00935C0A" w:rsidP="0050721B">
      <w:pPr>
        <w:pStyle w:val="ListParagraph"/>
        <w:numPr>
          <w:ilvl w:val="0"/>
          <w:numId w:val="37"/>
        </w:numPr>
        <w:jc w:val="both"/>
        <w:rPr>
          <w:rFonts w:ascii="Times New Roman" w:hAnsi="Times New Roman"/>
          <w:sz w:val="24"/>
          <w:szCs w:val="24"/>
        </w:rPr>
      </w:pPr>
      <w:r w:rsidRPr="0050721B">
        <w:rPr>
          <w:rFonts w:ascii="Times New Roman" w:hAnsi="Times New Roman"/>
          <w:sz w:val="24"/>
          <w:szCs w:val="24"/>
        </w:rPr>
        <w:t>Është hartuar programi i punës për vitin 2025, për veprimtarinë e punës së Zyrës së Komisionerit.</w:t>
      </w:r>
    </w:p>
    <w:p w:rsidR="00935C0A" w:rsidRPr="0050721B" w:rsidRDefault="00935C0A" w:rsidP="0050721B">
      <w:pPr>
        <w:pStyle w:val="ListParagraph"/>
        <w:numPr>
          <w:ilvl w:val="0"/>
          <w:numId w:val="37"/>
        </w:numPr>
        <w:jc w:val="both"/>
        <w:rPr>
          <w:rFonts w:ascii="Times New Roman" w:hAnsi="Times New Roman"/>
          <w:sz w:val="24"/>
          <w:szCs w:val="24"/>
        </w:rPr>
      </w:pPr>
      <w:r w:rsidRPr="0050721B">
        <w:rPr>
          <w:rFonts w:ascii="Times New Roman" w:hAnsi="Times New Roman"/>
          <w:sz w:val="24"/>
          <w:szCs w:val="24"/>
        </w:rPr>
        <w:t xml:space="preserve">Janë hartuar aktet në zbatim të ligjit nr.124/2024 </w:t>
      </w:r>
      <w:r w:rsidRPr="0050721B">
        <w:rPr>
          <w:rFonts w:ascii="Times New Roman" w:hAnsi="Times New Roman"/>
          <w:i/>
          <w:sz w:val="24"/>
          <w:szCs w:val="24"/>
        </w:rPr>
        <w:t>“Për mbro</w:t>
      </w:r>
      <w:r w:rsidR="00E76D5D">
        <w:rPr>
          <w:rFonts w:ascii="Times New Roman" w:hAnsi="Times New Roman"/>
          <w:i/>
          <w:sz w:val="24"/>
          <w:szCs w:val="24"/>
        </w:rPr>
        <w:t xml:space="preserve">jtjen e të dhënave personale”, </w:t>
      </w:r>
      <w:r w:rsidRPr="0050721B">
        <w:rPr>
          <w:rFonts w:ascii="Times New Roman" w:hAnsi="Times New Roman"/>
          <w:sz w:val="24"/>
          <w:szCs w:val="24"/>
        </w:rPr>
        <w:t>dhe</w:t>
      </w:r>
      <w:r w:rsidRPr="0050721B">
        <w:rPr>
          <w:rFonts w:ascii="Times New Roman" w:hAnsi="Times New Roman"/>
          <w:i/>
          <w:sz w:val="24"/>
          <w:szCs w:val="24"/>
        </w:rPr>
        <w:t xml:space="preserve"> </w:t>
      </w:r>
      <w:r w:rsidRPr="0050721B">
        <w:rPr>
          <w:rFonts w:ascii="Times New Roman" w:hAnsi="Times New Roman"/>
          <w:sz w:val="24"/>
          <w:szCs w:val="24"/>
        </w:rPr>
        <w:t>janë botuar në Fletoren Zyrtare nr. 75, datë 02.05.2025</w:t>
      </w:r>
      <w:r w:rsidR="00CD0FB1" w:rsidRPr="0050721B">
        <w:rPr>
          <w:rFonts w:ascii="Times New Roman" w:hAnsi="Times New Roman"/>
          <w:sz w:val="24"/>
          <w:szCs w:val="24"/>
        </w:rPr>
        <w:t xml:space="preserve">, me konkretsiht 2 Vendime dhe 6 Udhëzime që rregullojnë fusha të ndryshme </w:t>
      </w:r>
      <w:r w:rsidR="0039319D" w:rsidRPr="0050721B">
        <w:rPr>
          <w:rFonts w:ascii="Times New Roman" w:hAnsi="Times New Roman"/>
          <w:sz w:val="24"/>
          <w:szCs w:val="24"/>
        </w:rPr>
        <w:t xml:space="preserve"> </w:t>
      </w:r>
      <w:r w:rsidR="00CD0FB1" w:rsidRPr="0050721B">
        <w:rPr>
          <w:rFonts w:ascii="Times New Roman" w:hAnsi="Times New Roman"/>
          <w:sz w:val="24"/>
          <w:szCs w:val="24"/>
        </w:rPr>
        <w:t xml:space="preserve"> </w:t>
      </w:r>
    </w:p>
    <w:p w:rsidR="00935C0A" w:rsidRPr="0050721B" w:rsidRDefault="00935C0A" w:rsidP="0050721B">
      <w:pPr>
        <w:pStyle w:val="ListParagraph"/>
        <w:numPr>
          <w:ilvl w:val="0"/>
          <w:numId w:val="39"/>
        </w:numPr>
        <w:jc w:val="both"/>
        <w:rPr>
          <w:rFonts w:ascii="Times New Roman" w:hAnsi="Times New Roman"/>
          <w:sz w:val="24"/>
          <w:szCs w:val="24"/>
        </w:rPr>
      </w:pPr>
      <w:r w:rsidRPr="0050721B">
        <w:rPr>
          <w:rFonts w:ascii="Times New Roman" w:hAnsi="Times New Roman"/>
          <w:sz w:val="24"/>
          <w:szCs w:val="24"/>
        </w:rPr>
        <w:lastRenderedPageBreak/>
        <w:t xml:space="preserve">Është përditësuar Aneksit I, i Udhëzimit të Përbashkët të Ministrit të Brendshëm dhe Komisionerit për të Drejtën e Informimit dhe Mbrojtjen e të Dhënave Personale nr. 463/2020, i ndryshuar </w:t>
      </w:r>
      <w:r w:rsidRPr="0050721B">
        <w:rPr>
          <w:rFonts w:ascii="Times New Roman" w:hAnsi="Times New Roman"/>
          <w:i/>
          <w:sz w:val="24"/>
          <w:szCs w:val="24"/>
        </w:rPr>
        <w:t xml:space="preserve">“Për përcaktimin e institucioneve dhe organeve që marrin të dhëna personale nga Shërbimi i Gjendjes Civile, si dhe mënyrën, llojin dhe sasinë e informacionit që duhet të marrin”. </w:t>
      </w:r>
    </w:p>
    <w:p w:rsidR="004065F0" w:rsidRPr="0050721B" w:rsidRDefault="00935C0A" w:rsidP="0050721B">
      <w:pPr>
        <w:pStyle w:val="ListParagraph"/>
        <w:numPr>
          <w:ilvl w:val="0"/>
          <w:numId w:val="38"/>
        </w:numPr>
        <w:jc w:val="both"/>
        <w:rPr>
          <w:rFonts w:ascii="Times New Roman" w:hAnsi="Times New Roman"/>
          <w:sz w:val="24"/>
          <w:szCs w:val="24"/>
        </w:rPr>
      </w:pPr>
      <w:r w:rsidRPr="0050721B">
        <w:rPr>
          <w:rFonts w:ascii="Times New Roman" w:hAnsi="Times New Roman"/>
          <w:sz w:val="24"/>
          <w:szCs w:val="24"/>
        </w:rPr>
        <w:t xml:space="preserve">Është hartuar </w:t>
      </w:r>
      <w:r w:rsidRPr="0050721B">
        <w:rPr>
          <w:rFonts w:ascii="Times New Roman" w:hAnsi="Times New Roman"/>
          <w:i/>
          <w:sz w:val="24"/>
          <w:szCs w:val="24"/>
        </w:rPr>
        <w:t>“Draft/metodologjia për përllogaritjen e masës së</w:t>
      </w:r>
      <w:r w:rsidRPr="0050721B">
        <w:rPr>
          <w:rFonts w:ascii="Times New Roman" w:hAnsi="Times New Roman"/>
          <w:b/>
          <w:i/>
          <w:sz w:val="24"/>
          <w:szCs w:val="24"/>
        </w:rPr>
        <w:t xml:space="preserve"> </w:t>
      </w:r>
      <w:r w:rsidRPr="0050721B">
        <w:rPr>
          <w:rFonts w:ascii="Times New Roman" w:hAnsi="Times New Roman"/>
          <w:i/>
          <w:sz w:val="24"/>
          <w:szCs w:val="24"/>
        </w:rPr>
        <w:t>sanksioneve administrative”</w:t>
      </w:r>
      <w:r w:rsidRPr="0050721B">
        <w:rPr>
          <w:rFonts w:ascii="Times New Roman" w:hAnsi="Times New Roman"/>
          <w:sz w:val="24"/>
          <w:szCs w:val="24"/>
        </w:rPr>
        <w:t xml:space="preserve">. </w:t>
      </w:r>
    </w:p>
    <w:p w:rsidR="0039319D" w:rsidRPr="0050721B" w:rsidRDefault="0039319D" w:rsidP="0050721B">
      <w:pPr>
        <w:pStyle w:val="ListParagraph"/>
        <w:numPr>
          <w:ilvl w:val="0"/>
          <w:numId w:val="38"/>
        </w:numPr>
        <w:jc w:val="both"/>
        <w:rPr>
          <w:rFonts w:ascii="Times New Roman" w:hAnsi="Times New Roman"/>
          <w:sz w:val="24"/>
          <w:szCs w:val="24"/>
        </w:rPr>
      </w:pPr>
      <w:r w:rsidRPr="0050721B">
        <w:rPr>
          <w:rFonts w:ascii="Times New Roman" w:hAnsi="Times New Roman"/>
          <w:sz w:val="24"/>
          <w:szCs w:val="24"/>
        </w:rPr>
        <w:t xml:space="preserve">Raportime  të shumta si në kuadër e Kontributit të Progres Raportit 2025 për Kapituj të veçantë,  si dhe zbatimit të indikatorëve të Sstategjive Kombëtar, ku Zyra e Komisionerit ka rolin e saj </w:t>
      </w:r>
    </w:p>
    <w:p w:rsidR="00DF0CF8" w:rsidRPr="0050721B" w:rsidRDefault="00DF0CF8" w:rsidP="0050721B">
      <w:pPr>
        <w:pStyle w:val="ListParagraph"/>
        <w:numPr>
          <w:ilvl w:val="0"/>
          <w:numId w:val="38"/>
        </w:numPr>
        <w:jc w:val="both"/>
        <w:rPr>
          <w:rFonts w:ascii="Times New Roman" w:hAnsi="Times New Roman"/>
          <w:sz w:val="24"/>
          <w:szCs w:val="24"/>
          <w:lang w:val="en-US"/>
        </w:rPr>
      </w:pPr>
      <w:r w:rsidRPr="0050721B">
        <w:rPr>
          <w:rFonts w:ascii="Times New Roman" w:hAnsi="Times New Roman"/>
          <w:color w:val="000000"/>
          <w:sz w:val="24"/>
          <w:szCs w:val="24"/>
        </w:rPr>
        <w:t xml:space="preserve"> Është raportuar në zbatim të Vendimit të Kuvendit të Republikës së Shqipërisë nr.134/2018 </w:t>
      </w:r>
      <w:r w:rsidRPr="0050721B">
        <w:rPr>
          <w:rFonts w:ascii="Times New Roman" w:hAnsi="Times New Roman"/>
          <w:i/>
          <w:color w:val="000000"/>
          <w:sz w:val="24"/>
          <w:szCs w:val="24"/>
        </w:rPr>
        <w:t>“Për miratimin e Manualit të Monitorimit Vjetor dhe Periodik”</w:t>
      </w:r>
      <w:r w:rsidRPr="0050721B">
        <w:rPr>
          <w:rFonts w:ascii="Times New Roman" w:hAnsi="Times New Roman"/>
          <w:color w:val="000000"/>
          <w:sz w:val="24"/>
          <w:szCs w:val="24"/>
        </w:rPr>
        <w:t>, mbi nivelin</w:t>
      </w:r>
      <w:r w:rsidRPr="0050721B">
        <w:rPr>
          <w:rFonts w:ascii="Times New Roman" w:hAnsi="Times New Roman"/>
          <w:sz w:val="24"/>
          <w:szCs w:val="24"/>
        </w:rPr>
        <w:t xml:space="preserve"> e zbatimit të rekomandimeve të lëna nga Zyra e Komisionerit, për autoritet publike si dhe statusin e zbatueshmërisë së tyre për periudhat raportuese janar - prill 2025 dhe maj - gusht 2025.</w:t>
      </w:r>
      <w:r w:rsidRPr="0050721B">
        <w:rPr>
          <w:rFonts w:ascii="Times New Roman" w:hAnsi="Times New Roman"/>
          <w:sz w:val="24"/>
          <w:szCs w:val="24"/>
          <w:highlight w:val="yellow"/>
        </w:rPr>
        <w:t xml:space="preserve"> </w:t>
      </w:r>
    </w:p>
    <w:p w:rsidR="00BC7B64" w:rsidRPr="0050721B" w:rsidRDefault="00BC7B64" w:rsidP="0050721B">
      <w:pPr>
        <w:pStyle w:val="ListParagraph"/>
        <w:numPr>
          <w:ilvl w:val="0"/>
          <w:numId w:val="38"/>
        </w:numPr>
        <w:tabs>
          <w:tab w:val="left" w:pos="142"/>
        </w:tabs>
        <w:autoSpaceDE w:val="0"/>
        <w:autoSpaceDN w:val="0"/>
        <w:adjustRightInd w:val="0"/>
        <w:jc w:val="both"/>
        <w:rPr>
          <w:rFonts w:ascii="Times New Roman" w:eastAsia="Adobe Myungjo Std M" w:hAnsi="Times New Roman"/>
          <w:bCs/>
          <w:sz w:val="24"/>
          <w:szCs w:val="24"/>
        </w:rPr>
      </w:pPr>
      <w:r w:rsidRPr="0050721B">
        <w:rPr>
          <w:rFonts w:ascii="Times New Roman" w:eastAsia="Adobe Myungjo Std M" w:hAnsi="Times New Roman"/>
          <w:bCs/>
          <w:sz w:val="24"/>
          <w:szCs w:val="24"/>
        </w:rPr>
        <w:t>Për periudhën raportuese, është siguruar dhënia e kontributit dhe pjesëmarrja aktive në forume dhe rrjete ndërkombëtare të bashkëpunimit në fushat e së drejtës për informim dhe mbrojtjen e të dhë</w:t>
      </w:r>
      <w:r w:rsidR="00E76D5D">
        <w:rPr>
          <w:rFonts w:ascii="Times New Roman" w:eastAsia="Adobe Myungjo Std M" w:hAnsi="Times New Roman"/>
          <w:bCs/>
          <w:sz w:val="24"/>
          <w:szCs w:val="24"/>
        </w:rPr>
        <w:t>nave personale (9 përfaqësime në</w:t>
      </w:r>
      <w:r w:rsidRPr="0050721B">
        <w:rPr>
          <w:rFonts w:ascii="Times New Roman" w:eastAsia="Adobe Myungjo Std M" w:hAnsi="Times New Roman"/>
          <w:bCs/>
          <w:sz w:val="24"/>
          <w:szCs w:val="24"/>
        </w:rPr>
        <w:t xml:space="preserve"> rrjetin ndërkombëtar) </w:t>
      </w:r>
    </w:p>
    <w:p w:rsidR="00E76D5D" w:rsidRPr="0050721B" w:rsidRDefault="00E76D5D" w:rsidP="0050721B">
      <w:pPr>
        <w:pStyle w:val="ListParagraph"/>
        <w:ind w:left="360"/>
        <w:jc w:val="both"/>
        <w:rPr>
          <w:rFonts w:ascii="Times New Roman" w:hAnsi="Times New Roman"/>
          <w:sz w:val="24"/>
          <w:szCs w:val="24"/>
        </w:rPr>
      </w:pPr>
    </w:p>
    <w:p w:rsidR="00F83939" w:rsidRPr="0050721B" w:rsidRDefault="00F83939" w:rsidP="0050721B">
      <w:pPr>
        <w:pStyle w:val="ListParagraph"/>
        <w:numPr>
          <w:ilvl w:val="0"/>
          <w:numId w:val="7"/>
        </w:numPr>
        <w:jc w:val="both"/>
        <w:rPr>
          <w:rFonts w:ascii="Times New Roman" w:hAnsi="Times New Roman"/>
          <w:b/>
          <w:i/>
          <w:color w:val="0D0D0D" w:themeColor="text1" w:themeTint="F2"/>
          <w:sz w:val="24"/>
          <w:szCs w:val="24"/>
        </w:rPr>
      </w:pPr>
      <w:r w:rsidRPr="0050721B">
        <w:rPr>
          <w:rFonts w:ascii="Times New Roman" w:hAnsi="Times New Roman"/>
          <w:b/>
          <w:i/>
          <w:color w:val="0D0D0D" w:themeColor="text1" w:themeTint="F2"/>
          <w:sz w:val="24"/>
          <w:szCs w:val="24"/>
        </w:rPr>
        <w:t xml:space="preserve">Dhënie mendimi/opinione ligjore </w:t>
      </w:r>
    </w:p>
    <w:p w:rsidR="00D10D69" w:rsidRPr="0050721B" w:rsidRDefault="00F83939" w:rsidP="0050721B">
      <w:pPr>
        <w:spacing w:line="276" w:lineRule="auto"/>
        <w:jc w:val="both"/>
        <w:rPr>
          <w:color w:val="0D0D0D" w:themeColor="text1" w:themeTint="F2"/>
        </w:rPr>
      </w:pPr>
      <w:r w:rsidRPr="0050721B">
        <w:rPr>
          <w:rFonts w:eastAsia="Calibri"/>
          <w:color w:val="0D0D0D" w:themeColor="text1" w:themeTint="F2"/>
        </w:rPr>
        <w:t>Zyra e Komisionerit gjatë  kësaj periudhe ka patu</w:t>
      </w:r>
      <w:r w:rsidR="00E76D5D">
        <w:rPr>
          <w:rFonts w:eastAsia="Calibri"/>
          <w:color w:val="0D0D0D" w:themeColor="text1" w:themeTint="F2"/>
        </w:rPr>
        <w:t>r një veprimtari të shtuar duke</w:t>
      </w:r>
      <w:r w:rsidRPr="0050721B">
        <w:rPr>
          <w:rFonts w:eastAsia="Calibri"/>
          <w:color w:val="0D0D0D" w:themeColor="text1" w:themeTint="F2"/>
        </w:rPr>
        <w:t xml:space="preserve"> u angazhuar në </w:t>
      </w:r>
      <w:r w:rsidR="00E76D5D">
        <w:rPr>
          <w:rFonts w:eastAsia="Calibri"/>
          <w:color w:val="0D0D0D" w:themeColor="text1" w:themeTint="F2"/>
        </w:rPr>
        <w:t xml:space="preserve">dhënie të  mendimeve ligjore, </w:t>
      </w:r>
      <w:r w:rsidRPr="0050721B">
        <w:rPr>
          <w:color w:val="0D0D0D" w:themeColor="text1" w:themeTint="F2"/>
        </w:rPr>
        <w:t xml:space="preserve">për </w:t>
      </w:r>
      <w:r w:rsidR="00D10D69" w:rsidRPr="0050721B">
        <w:rPr>
          <w:b/>
          <w:color w:val="0D0D0D" w:themeColor="text1" w:themeTint="F2"/>
        </w:rPr>
        <w:t>21</w:t>
      </w:r>
      <w:r w:rsidRPr="0050721B">
        <w:rPr>
          <w:color w:val="0D0D0D" w:themeColor="text1" w:themeTint="F2"/>
        </w:rPr>
        <w:t xml:space="preserve"> akte </w:t>
      </w:r>
      <w:r w:rsidRPr="0050721B">
        <w:rPr>
          <w:rFonts w:eastAsia="Calibri"/>
          <w:color w:val="0D0D0D" w:themeColor="text1" w:themeTint="F2"/>
        </w:rPr>
        <w:t>rregullative</w:t>
      </w:r>
      <w:r w:rsidRPr="0050721B">
        <w:rPr>
          <w:color w:val="0D0D0D" w:themeColor="text1" w:themeTint="F2"/>
        </w:rPr>
        <w:t xml:space="preserve"> përfshirë </w:t>
      </w:r>
      <w:r w:rsidR="00D10D69" w:rsidRPr="0050721B">
        <w:rPr>
          <w:b/>
          <w:color w:val="0D0D0D" w:themeColor="text1" w:themeTint="F2"/>
        </w:rPr>
        <w:t>3</w:t>
      </w:r>
      <w:r w:rsidR="00DF0CF8" w:rsidRPr="0050721B">
        <w:rPr>
          <w:color w:val="0D0D0D" w:themeColor="text1" w:themeTint="F2"/>
        </w:rPr>
        <w:t xml:space="preserve"> projektligj</w:t>
      </w:r>
      <w:r w:rsidRPr="0050721B">
        <w:rPr>
          <w:color w:val="0D0D0D" w:themeColor="text1" w:themeTint="F2"/>
        </w:rPr>
        <w:t xml:space="preserve">, </w:t>
      </w:r>
      <w:r w:rsidR="00D10D69" w:rsidRPr="0050721B">
        <w:rPr>
          <w:b/>
          <w:color w:val="0D0D0D" w:themeColor="text1" w:themeTint="F2"/>
        </w:rPr>
        <w:t>9</w:t>
      </w:r>
      <w:r w:rsidRPr="0050721B">
        <w:rPr>
          <w:b/>
          <w:color w:val="0D0D0D" w:themeColor="text1" w:themeTint="F2"/>
        </w:rPr>
        <w:t xml:space="preserve"> </w:t>
      </w:r>
      <w:r w:rsidRPr="0050721B">
        <w:rPr>
          <w:color w:val="0D0D0D" w:themeColor="text1" w:themeTint="F2"/>
        </w:rPr>
        <w:t xml:space="preserve">projektvendime, </w:t>
      </w:r>
      <w:r w:rsidRPr="0050721B">
        <w:rPr>
          <w:b/>
          <w:color w:val="0D0D0D" w:themeColor="text1" w:themeTint="F2"/>
        </w:rPr>
        <w:t xml:space="preserve">1 </w:t>
      </w:r>
      <w:r w:rsidRPr="0050721B">
        <w:rPr>
          <w:color w:val="0D0D0D" w:themeColor="text1" w:themeTint="F2"/>
        </w:rPr>
        <w:t xml:space="preserve">draft </w:t>
      </w:r>
      <w:r w:rsidR="00D10D69" w:rsidRPr="0050721B">
        <w:rPr>
          <w:color w:val="0D0D0D" w:themeColor="text1" w:themeTint="F2"/>
        </w:rPr>
        <w:t>memorandum</w:t>
      </w:r>
      <w:r w:rsidRPr="0050721B">
        <w:rPr>
          <w:color w:val="0D0D0D" w:themeColor="text1" w:themeTint="F2"/>
        </w:rPr>
        <w:t xml:space="preserve">, </w:t>
      </w:r>
      <w:r w:rsidR="00D10D69" w:rsidRPr="0050721B">
        <w:rPr>
          <w:color w:val="0D0D0D" w:themeColor="text1" w:themeTint="F2"/>
        </w:rPr>
        <w:t>7</w:t>
      </w:r>
      <w:r w:rsidRPr="0050721B">
        <w:rPr>
          <w:color w:val="0D0D0D" w:themeColor="text1" w:themeTint="F2"/>
        </w:rPr>
        <w:t xml:space="preserve"> marrëveshje bashkëpunimi si dhe </w:t>
      </w:r>
      <w:r w:rsidR="00D10D69" w:rsidRPr="0050721B">
        <w:rPr>
          <w:b/>
          <w:color w:val="0D0D0D" w:themeColor="text1" w:themeTint="F2"/>
        </w:rPr>
        <w:t>50</w:t>
      </w:r>
      <w:r w:rsidRPr="0050721B">
        <w:rPr>
          <w:b/>
          <w:color w:val="0D0D0D" w:themeColor="text1" w:themeTint="F2"/>
        </w:rPr>
        <w:t xml:space="preserve"> </w:t>
      </w:r>
      <w:r w:rsidRPr="0050721B">
        <w:rPr>
          <w:color w:val="0D0D0D" w:themeColor="text1" w:themeTint="F2"/>
        </w:rPr>
        <w:t>opinione për çështje/projekte të paraqitura nga kontrollues publik ap</w:t>
      </w:r>
      <w:r w:rsidR="00E76D5D">
        <w:rPr>
          <w:color w:val="0D0D0D" w:themeColor="text1" w:themeTint="F2"/>
        </w:rPr>
        <w:t xml:space="preserve">o privat. Gjatë kësaj periudhe </w:t>
      </w:r>
      <w:r w:rsidRPr="0050721B">
        <w:rPr>
          <w:color w:val="0D0D0D" w:themeColor="text1" w:themeTint="F2"/>
        </w:rPr>
        <w:t>shifrat flasin për ndërgjegjësimin në rritje të kontrolluesv</w:t>
      </w:r>
      <w:r w:rsidR="00DB519C" w:rsidRPr="0050721B">
        <w:rPr>
          <w:color w:val="0D0D0D" w:themeColor="text1" w:themeTint="F2"/>
        </w:rPr>
        <w:t>e</w:t>
      </w:r>
      <w:r w:rsidRPr="0050721B">
        <w:rPr>
          <w:color w:val="0D0D0D" w:themeColor="text1" w:themeTint="F2"/>
        </w:rPr>
        <w:t xml:space="preserve">, lidhur me përputhjen </w:t>
      </w:r>
      <w:r w:rsidR="00DB519C" w:rsidRPr="0050721B">
        <w:rPr>
          <w:color w:val="0D0D0D" w:themeColor="text1" w:themeTint="F2"/>
        </w:rPr>
        <w:t xml:space="preserve">e legjislacioneve specifike me </w:t>
      </w:r>
      <w:r w:rsidRPr="0050721B">
        <w:rPr>
          <w:color w:val="0D0D0D" w:themeColor="text1" w:themeTint="F2"/>
        </w:rPr>
        <w:t xml:space="preserve">legjislacionin e ri të mbrojtjes së të dhënave personale, të ndryshuar. Kjo veprimtari është udhëhequr nga fryma e zbatimit të standardeve të GDPR në legjislacionin shqiptar, ku parimet e përgjegjshmërisë, integritetit, konfidencialitetit apo i sigurisë së të dhënave kanë qënë fokus kryesor në këtë drejtim.  </w:t>
      </w:r>
    </w:p>
    <w:p w:rsidR="00E16DF6" w:rsidRPr="00E76D5D" w:rsidRDefault="00DF0CF8" w:rsidP="0050721B">
      <w:pPr>
        <w:spacing w:line="276" w:lineRule="auto"/>
        <w:jc w:val="both"/>
        <w:rPr>
          <w:color w:val="0D0D0D" w:themeColor="text1" w:themeTint="F2"/>
          <w:sz w:val="14"/>
        </w:rPr>
      </w:pPr>
      <w:r w:rsidRPr="0050721B">
        <w:rPr>
          <w:lang w:val="it-IT"/>
        </w:rPr>
        <w:t xml:space="preserve"> </w:t>
      </w:r>
    </w:p>
    <w:p w:rsidR="00986A71" w:rsidRPr="0050721B" w:rsidRDefault="00986A71" w:rsidP="0050721B">
      <w:pPr>
        <w:pStyle w:val="BodyText"/>
        <w:spacing w:after="0" w:line="276" w:lineRule="auto"/>
        <w:jc w:val="both"/>
        <w:rPr>
          <w:b/>
          <w:color w:val="0D0D0D" w:themeColor="text1" w:themeTint="F2"/>
        </w:rPr>
      </w:pPr>
      <w:r w:rsidRPr="0050721B">
        <w:rPr>
          <w:b/>
          <w:color w:val="0D0D0D" w:themeColor="text1" w:themeTint="F2"/>
        </w:rPr>
        <w:t xml:space="preserve">IV.1 Performanca e treguesve të programit </w:t>
      </w:r>
    </w:p>
    <w:p w:rsidR="00986A71" w:rsidRPr="00E76D5D" w:rsidRDefault="00986A71" w:rsidP="0050721B">
      <w:pPr>
        <w:autoSpaceDE w:val="0"/>
        <w:autoSpaceDN w:val="0"/>
        <w:adjustRightInd w:val="0"/>
        <w:spacing w:line="276" w:lineRule="auto"/>
        <w:jc w:val="both"/>
        <w:rPr>
          <w:rFonts w:eastAsiaTheme="minorHAnsi"/>
          <w:sz w:val="6"/>
          <w:lang w:val="en-US" w:eastAsia="en-US"/>
        </w:rPr>
      </w:pPr>
    </w:p>
    <w:p w:rsidR="00986A71" w:rsidRPr="0050721B" w:rsidRDefault="00986A71" w:rsidP="0050721B">
      <w:pPr>
        <w:autoSpaceDE w:val="0"/>
        <w:autoSpaceDN w:val="0"/>
        <w:adjustRightInd w:val="0"/>
        <w:spacing w:line="276" w:lineRule="auto"/>
        <w:jc w:val="both"/>
        <w:rPr>
          <w:rFonts w:eastAsiaTheme="minorHAnsi"/>
          <w:lang w:val="en-US" w:eastAsia="en-US"/>
        </w:rPr>
      </w:pPr>
      <w:r w:rsidRPr="0050721B">
        <w:rPr>
          <w:rFonts w:eastAsiaTheme="minorHAnsi"/>
          <w:lang w:val="en-US" w:eastAsia="en-US"/>
        </w:rPr>
        <w:t xml:space="preserve">Për vlerësimin e ecurisë </w:t>
      </w:r>
      <w:proofErr w:type="spellStart"/>
      <w:r w:rsidRPr="0050721B">
        <w:rPr>
          <w:rFonts w:eastAsiaTheme="minorHAnsi"/>
          <w:lang w:val="en-US" w:eastAsia="en-US"/>
        </w:rPr>
        <w:t>së</w:t>
      </w:r>
      <w:proofErr w:type="spellEnd"/>
      <w:r w:rsidRPr="0050721B">
        <w:rPr>
          <w:rFonts w:eastAsiaTheme="minorHAnsi"/>
          <w:lang w:val="en-US" w:eastAsia="en-US"/>
        </w:rPr>
        <w:t xml:space="preserve"> </w:t>
      </w:r>
      <w:proofErr w:type="spellStart"/>
      <w:r w:rsidRPr="0050721B">
        <w:rPr>
          <w:rFonts w:eastAsiaTheme="minorHAnsi"/>
          <w:lang w:val="en-US" w:eastAsia="en-US"/>
        </w:rPr>
        <w:t>institucionit</w:t>
      </w:r>
      <w:proofErr w:type="spellEnd"/>
      <w:r w:rsidRPr="0050721B">
        <w:rPr>
          <w:rFonts w:eastAsiaTheme="minorHAnsi"/>
          <w:lang w:val="en-US" w:eastAsia="en-US"/>
        </w:rPr>
        <w:t xml:space="preserve"> </w:t>
      </w:r>
      <w:proofErr w:type="spellStart"/>
      <w:r w:rsidRPr="0050721B">
        <w:rPr>
          <w:rFonts w:eastAsiaTheme="minorHAnsi"/>
          <w:lang w:val="en-US" w:eastAsia="en-US"/>
        </w:rPr>
        <w:t>në</w:t>
      </w:r>
      <w:proofErr w:type="spellEnd"/>
      <w:r w:rsidRPr="0050721B">
        <w:rPr>
          <w:rFonts w:eastAsiaTheme="minorHAnsi"/>
          <w:lang w:val="en-US" w:eastAsia="en-US"/>
        </w:rPr>
        <w:t xml:space="preserve"> </w:t>
      </w:r>
      <w:proofErr w:type="spellStart"/>
      <w:r w:rsidRPr="0050721B">
        <w:rPr>
          <w:rFonts w:eastAsiaTheme="minorHAnsi"/>
          <w:lang w:val="en-US" w:eastAsia="en-US"/>
        </w:rPr>
        <w:t>raport</w:t>
      </w:r>
      <w:proofErr w:type="spellEnd"/>
      <w:r w:rsidRPr="0050721B">
        <w:rPr>
          <w:rFonts w:eastAsiaTheme="minorHAnsi"/>
          <w:lang w:val="en-US" w:eastAsia="en-US"/>
        </w:rPr>
        <w:t xml:space="preserve"> me </w:t>
      </w:r>
      <w:proofErr w:type="spellStart"/>
      <w:r w:rsidRPr="0050721B">
        <w:rPr>
          <w:rFonts w:eastAsiaTheme="minorHAnsi"/>
          <w:lang w:val="en-US" w:eastAsia="en-US"/>
        </w:rPr>
        <w:t>objektivat</w:t>
      </w:r>
      <w:proofErr w:type="spellEnd"/>
      <w:r w:rsidRPr="0050721B">
        <w:rPr>
          <w:rFonts w:eastAsiaTheme="minorHAnsi"/>
          <w:lang w:val="en-US" w:eastAsia="en-US"/>
        </w:rPr>
        <w:t xml:space="preserve"> </w:t>
      </w:r>
      <w:proofErr w:type="spellStart"/>
      <w:r w:rsidRPr="0050721B">
        <w:rPr>
          <w:rFonts w:eastAsiaTheme="minorHAnsi"/>
          <w:lang w:val="en-US" w:eastAsia="en-US"/>
        </w:rPr>
        <w:t>strategjikë</w:t>
      </w:r>
      <w:proofErr w:type="spellEnd"/>
      <w:r w:rsidRPr="0050721B">
        <w:rPr>
          <w:rFonts w:eastAsiaTheme="minorHAnsi"/>
          <w:lang w:val="en-US" w:eastAsia="en-US"/>
        </w:rPr>
        <w:t xml:space="preserve"> dhe </w:t>
      </w:r>
      <w:proofErr w:type="spellStart"/>
      <w:r w:rsidRPr="0050721B">
        <w:rPr>
          <w:rFonts w:eastAsiaTheme="minorHAnsi"/>
          <w:lang w:val="en-US" w:eastAsia="en-US"/>
        </w:rPr>
        <w:t>operacionalë</w:t>
      </w:r>
      <w:proofErr w:type="spellEnd"/>
      <w:r w:rsidR="00E16DF6" w:rsidRPr="0050721B">
        <w:rPr>
          <w:rFonts w:eastAsiaTheme="minorHAnsi"/>
          <w:lang w:val="en-US" w:eastAsia="en-US"/>
        </w:rPr>
        <w:t xml:space="preserve">, </w:t>
      </w:r>
      <w:proofErr w:type="spellStart"/>
      <w:r w:rsidR="00E76D5D">
        <w:rPr>
          <w:rFonts w:eastAsiaTheme="minorHAnsi"/>
          <w:lang w:val="en-US" w:eastAsia="en-US"/>
        </w:rPr>
        <w:t>listojmë</w:t>
      </w:r>
      <w:proofErr w:type="spellEnd"/>
      <w:r w:rsidR="00E76D5D">
        <w:rPr>
          <w:rFonts w:eastAsiaTheme="minorHAnsi"/>
          <w:lang w:val="en-US" w:eastAsia="en-US"/>
        </w:rPr>
        <w:t xml:space="preserve"> </w:t>
      </w:r>
      <w:proofErr w:type="spellStart"/>
      <w:r w:rsidR="00DC14D8" w:rsidRPr="0050721B">
        <w:rPr>
          <w:rFonts w:eastAsiaTheme="minorHAnsi"/>
          <w:lang w:val="en-US" w:eastAsia="en-US"/>
        </w:rPr>
        <w:t>realizimin</w:t>
      </w:r>
      <w:proofErr w:type="spellEnd"/>
      <w:r w:rsidR="00DC14D8" w:rsidRPr="0050721B">
        <w:rPr>
          <w:rFonts w:eastAsiaTheme="minorHAnsi"/>
          <w:lang w:val="en-US" w:eastAsia="en-US"/>
        </w:rPr>
        <w:t xml:space="preserve"> e </w:t>
      </w:r>
      <w:proofErr w:type="spellStart"/>
      <w:r w:rsidRPr="0050721B">
        <w:rPr>
          <w:rFonts w:eastAsiaTheme="minorHAnsi"/>
          <w:lang w:val="en-US" w:eastAsia="en-US"/>
        </w:rPr>
        <w:t>Tregues</w:t>
      </w:r>
      <w:r w:rsidR="00DC14D8" w:rsidRPr="0050721B">
        <w:rPr>
          <w:rFonts w:eastAsiaTheme="minorHAnsi"/>
          <w:lang w:val="en-US" w:eastAsia="en-US"/>
        </w:rPr>
        <w:t>ve</w:t>
      </w:r>
      <w:proofErr w:type="spellEnd"/>
      <w:r w:rsidRPr="0050721B">
        <w:rPr>
          <w:rFonts w:eastAsiaTheme="minorHAnsi"/>
          <w:lang w:val="en-US" w:eastAsia="en-US"/>
        </w:rPr>
        <w:t xml:space="preserve"> </w:t>
      </w:r>
      <w:r w:rsidR="00DC14D8" w:rsidRPr="0050721B">
        <w:rPr>
          <w:rFonts w:eastAsiaTheme="minorHAnsi"/>
          <w:lang w:val="en-US" w:eastAsia="en-US"/>
        </w:rPr>
        <w:t>të</w:t>
      </w:r>
      <w:r w:rsidRPr="0050721B">
        <w:rPr>
          <w:rFonts w:eastAsiaTheme="minorHAnsi"/>
          <w:lang w:val="en-US" w:eastAsia="en-US"/>
        </w:rPr>
        <w:t xml:space="preserve"> </w:t>
      </w:r>
      <w:proofErr w:type="spellStart"/>
      <w:r w:rsidR="00E16DF6" w:rsidRPr="0050721B">
        <w:rPr>
          <w:rFonts w:eastAsiaTheme="minorHAnsi"/>
          <w:lang w:val="en-US" w:eastAsia="en-US"/>
        </w:rPr>
        <w:t>performanc</w:t>
      </w:r>
      <w:r w:rsidR="00DB519C" w:rsidRPr="0050721B">
        <w:rPr>
          <w:rFonts w:eastAsiaTheme="minorHAnsi"/>
          <w:lang w:val="en-US" w:eastAsia="en-US"/>
        </w:rPr>
        <w:t>ë</w:t>
      </w:r>
      <w:r w:rsidR="00E16DF6" w:rsidRPr="0050721B">
        <w:rPr>
          <w:rFonts w:eastAsiaTheme="minorHAnsi"/>
          <w:lang w:val="en-US" w:eastAsia="en-US"/>
        </w:rPr>
        <w:t>s</w:t>
      </w:r>
      <w:proofErr w:type="spellEnd"/>
      <w:r w:rsidR="00E16DF6" w:rsidRPr="0050721B">
        <w:rPr>
          <w:rFonts w:eastAsiaTheme="minorHAnsi"/>
          <w:lang w:val="en-US" w:eastAsia="en-US"/>
        </w:rPr>
        <w:t xml:space="preserve">, </w:t>
      </w:r>
      <w:r w:rsidR="00DC14D8" w:rsidRPr="0050721B">
        <w:rPr>
          <w:rFonts w:eastAsiaTheme="minorHAnsi"/>
          <w:lang w:val="en-US" w:eastAsia="en-US"/>
        </w:rPr>
        <w:t xml:space="preserve">për </w:t>
      </w:r>
      <w:proofErr w:type="spellStart"/>
      <w:r w:rsidR="00DC14D8" w:rsidRPr="0050721B">
        <w:rPr>
          <w:rFonts w:eastAsiaTheme="minorHAnsi"/>
          <w:lang w:val="en-US" w:eastAsia="en-US"/>
        </w:rPr>
        <w:t>sa</w:t>
      </w:r>
      <w:proofErr w:type="spellEnd"/>
      <w:r w:rsidR="00DC14D8" w:rsidRPr="0050721B">
        <w:rPr>
          <w:rFonts w:eastAsiaTheme="minorHAnsi"/>
          <w:lang w:val="en-US" w:eastAsia="en-US"/>
        </w:rPr>
        <w:t xml:space="preserve"> </w:t>
      </w:r>
      <w:proofErr w:type="spellStart"/>
      <w:r w:rsidR="00DC14D8" w:rsidRPr="0050721B">
        <w:rPr>
          <w:rFonts w:eastAsiaTheme="minorHAnsi"/>
          <w:lang w:val="en-US" w:eastAsia="en-US"/>
        </w:rPr>
        <w:t>ka</w:t>
      </w:r>
      <w:proofErr w:type="spellEnd"/>
      <w:r w:rsidR="00DC14D8" w:rsidRPr="0050721B">
        <w:rPr>
          <w:rFonts w:eastAsiaTheme="minorHAnsi"/>
          <w:lang w:val="en-US" w:eastAsia="en-US"/>
        </w:rPr>
        <w:t xml:space="preserve"> </w:t>
      </w:r>
      <w:proofErr w:type="spellStart"/>
      <w:r w:rsidR="00DC14D8" w:rsidRPr="0050721B">
        <w:rPr>
          <w:rFonts w:eastAsiaTheme="minorHAnsi"/>
          <w:lang w:val="en-US" w:eastAsia="en-US"/>
        </w:rPr>
        <w:t>qenë</w:t>
      </w:r>
      <w:proofErr w:type="spellEnd"/>
      <w:r w:rsidR="00DC14D8" w:rsidRPr="0050721B">
        <w:rPr>
          <w:rFonts w:eastAsiaTheme="minorHAnsi"/>
          <w:lang w:val="en-US" w:eastAsia="en-US"/>
        </w:rPr>
        <w:t xml:space="preserve"> e </w:t>
      </w:r>
      <w:proofErr w:type="spellStart"/>
      <w:r w:rsidR="00DC14D8" w:rsidRPr="0050721B">
        <w:rPr>
          <w:rFonts w:eastAsiaTheme="minorHAnsi"/>
          <w:lang w:val="en-US" w:eastAsia="en-US"/>
        </w:rPr>
        <w:t>mundur</w:t>
      </w:r>
      <w:proofErr w:type="spellEnd"/>
      <w:r w:rsidR="00DC14D8" w:rsidRPr="0050721B">
        <w:rPr>
          <w:rFonts w:eastAsiaTheme="minorHAnsi"/>
          <w:lang w:val="en-US" w:eastAsia="en-US"/>
        </w:rPr>
        <w:t xml:space="preserve"> </w:t>
      </w:r>
      <w:proofErr w:type="spellStart"/>
      <w:r w:rsidR="00DC14D8" w:rsidRPr="0050721B">
        <w:rPr>
          <w:rFonts w:eastAsiaTheme="minorHAnsi"/>
          <w:lang w:val="en-US" w:eastAsia="en-US"/>
        </w:rPr>
        <w:t>në</w:t>
      </w:r>
      <w:proofErr w:type="spellEnd"/>
      <w:r w:rsidR="00DC14D8" w:rsidRPr="0050721B">
        <w:rPr>
          <w:rFonts w:eastAsiaTheme="minorHAnsi"/>
          <w:lang w:val="en-US" w:eastAsia="en-US"/>
        </w:rPr>
        <w:t xml:space="preserve"> </w:t>
      </w:r>
      <w:proofErr w:type="spellStart"/>
      <w:r w:rsidR="00DC14D8" w:rsidRPr="0050721B">
        <w:rPr>
          <w:rFonts w:eastAsiaTheme="minorHAnsi"/>
          <w:lang w:val="en-US" w:eastAsia="en-US"/>
        </w:rPr>
        <w:t>periudhën</w:t>
      </w:r>
      <w:proofErr w:type="spellEnd"/>
      <w:r w:rsidR="00DC14D8" w:rsidRPr="0050721B">
        <w:rPr>
          <w:rFonts w:eastAsiaTheme="minorHAnsi"/>
          <w:lang w:val="en-US" w:eastAsia="en-US"/>
        </w:rPr>
        <w:t xml:space="preserve"> e raportimit </w:t>
      </w:r>
    </w:p>
    <w:p w:rsidR="00986A71" w:rsidRPr="008139B2" w:rsidRDefault="00986A71" w:rsidP="0050721B">
      <w:pPr>
        <w:autoSpaceDE w:val="0"/>
        <w:autoSpaceDN w:val="0"/>
        <w:adjustRightInd w:val="0"/>
        <w:spacing w:line="276" w:lineRule="auto"/>
        <w:jc w:val="both"/>
        <w:rPr>
          <w:rFonts w:eastAsiaTheme="minorHAnsi"/>
          <w:color w:val="0D0D0D" w:themeColor="text1" w:themeTint="F2"/>
          <w:lang w:val="en-US" w:eastAsia="en-US"/>
        </w:rPr>
      </w:pPr>
      <w:r w:rsidRPr="0050721B">
        <w:rPr>
          <w:rFonts w:eastAsiaTheme="minorHAnsi"/>
          <w:lang w:val="en-US" w:eastAsia="en-US"/>
        </w:rPr>
        <w:t xml:space="preserve">   </w:t>
      </w:r>
    </w:p>
    <w:p w:rsidR="00986A71" w:rsidRPr="008139B2" w:rsidRDefault="00986A71" w:rsidP="0050721B">
      <w:pPr>
        <w:pStyle w:val="ListParagraph"/>
        <w:numPr>
          <w:ilvl w:val="0"/>
          <w:numId w:val="34"/>
        </w:numPr>
        <w:autoSpaceDE w:val="0"/>
        <w:autoSpaceDN w:val="0"/>
        <w:adjustRightInd w:val="0"/>
        <w:rPr>
          <w:rFonts w:ascii="Times New Roman" w:eastAsiaTheme="minorHAnsi" w:hAnsi="Times New Roman"/>
          <w:color w:val="0D0D0D" w:themeColor="text1" w:themeTint="F2"/>
          <w:sz w:val="24"/>
          <w:szCs w:val="24"/>
          <w:lang w:val="en-US"/>
        </w:rPr>
      </w:pPr>
      <w:r w:rsidRPr="008139B2">
        <w:rPr>
          <w:rFonts w:ascii="Times New Roman" w:eastAsiaTheme="minorHAnsi" w:hAnsi="Times New Roman"/>
          <w:color w:val="0D0D0D" w:themeColor="text1" w:themeTint="F2"/>
          <w:sz w:val="24"/>
          <w:szCs w:val="24"/>
          <w:lang w:val="en-US"/>
        </w:rPr>
        <w:t>Përqindja/Numri i vendimeve të Komisione</w:t>
      </w:r>
      <w:r w:rsidR="00DB519C" w:rsidRPr="008139B2">
        <w:rPr>
          <w:rFonts w:ascii="Times New Roman" w:eastAsiaTheme="minorHAnsi" w:hAnsi="Times New Roman"/>
          <w:color w:val="0D0D0D" w:themeColor="text1" w:themeTint="F2"/>
          <w:sz w:val="24"/>
          <w:szCs w:val="24"/>
          <w:lang w:val="en-US"/>
        </w:rPr>
        <w:t xml:space="preserve">rit të lëna në fuqi nga gjykata </w:t>
      </w:r>
      <w:r w:rsidRPr="008139B2">
        <w:rPr>
          <w:rFonts w:ascii="Times New Roman" w:eastAsiaTheme="minorHAnsi" w:hAnsi="Times New Roman"/>
          <w:color w:val="0D0D0D" w:themeColor="text1" w:themeTint="F2"/>
          <w:sz w:val="24"/>
          <w:szCs w:val="24"/>
          <w:lang w:val="en-US"/>
        </w:rPr>
        <w:t>kundrejt totalit</w:t>
      </w:r>
    </w:p>
    <w:p w:rsidR="00293788" w:rsidRPr="008139B2" w:rsidRDefault="00E76D5D" w:rsidP="0050721B">
      <w:pPr>
        <w:autoSpaceDE w:val="0"/>
        <w:autoSpaceDN w:val="0"/>
        <w:adjustRightInd w:val="0"/>
        <w:spacing w:line="276" w:lineRule="auto"/>
        <w:jc w:val="both"/>
        <w:rPr>
          <w:rFonts w:eastAsiaTheme="minorHAnsi"/>
          <w:color w:val="0D0D0D" w:themeColor="text1" w:themeTint="F2"/>
          <w:lang w:val="en-US"/>
        </w:rPr>
      </w:pPr>
      <w:proofErr w:type="spellStart"/>
      <w:r>
        <w:rPr>
          <w:rFonts w:eastAsiaTheme="minorHAnsi"/>
          <w:color w:val="0D0D0D" w:themeColor="text1" w:themeTint="F2"/>
          <w:lang w:val="en-US"/>
        </w:rPr>
        <w:t>Ky</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tregues</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është</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planifikuar</w:t>
      </w:r>
      <w:proofErr w:type="spellEnd"/>
      <w:r>
        <w:rPr>
          <w:rFonts w:eastAsiaTheme="minorHAnsi"/>
          <w:color w:val="0D0D0D" w:themeColor="text1" w:themeTint="F2"/>
          <w:lang w:val="en-US"/>
        </w:rPr>
        <w:t xml:space="preserve"> </w:t>
      </w:r>
      <w:proofErr w:type="spellStart"/>
      <w:r w:rsidR="00DC14D8" w:rsidRPr="008139B2">
        <w:rPr>
          <w:rFonts w:eastAsiaTheme="minorHAnsi"/>
          <w:color w:val="0D0D0D" w:themeColor="text1" w:themeTint="F2"/>
          <w:lang w:val="en-US"/>
        </w:rPr>
        <w:t>në</w:t>
      </w:r>
      <w:proofErr w:type="spellEnd"/>
      <w:r w:rsidR="00DC14D8" w:rsidRPr="008139B2">
        <w:rPr>
          <w:rFonts w:eastAsiaTheme="minorHAnsi"/>
          <w:color w:val="0D0D0D" w:themeColor="text1" w:themeTint="F2"/>
          <w:lang w:val="en-US"/>
        </w:rPr>
        <w:t xml:space="preserve"> </w:t>
      </w:r>
      <w:proofErr w:type="spellStart"/>
      <w:r w:rsidR="00DC14D8" w:rsidRPr="008139B2">
        <w:rPr>
          <w:rFonts w:eastAsiaTheme="minorHAnsi"/>
          <w:color w:val="0D0D0D" w:themeColor="text1" w:themeTint="F2"/>
          <w:lang w:val="en-US"/>
        </w:rPr>
        <w:t>masën</w:t>
      </w:r>
      <w:proofErr w:type="spellEnd"/>
      <w:r w:rsidR="00DC14D8" w:rsidRPr="008139B2">
        <w:rPr>
          <w:rFonts w:eastAsiaTheme="minorHAnsi"/>
          <w:color w:val="0D0D0D" w:themeColor="text1" w:themeTint="F2"/>
          <w:lang w:val="en-US"/>
        </w:rPr>
        <w:t xml:space="preserve"> </w:t>
      </w:r>
      <w:r w:rsidR="00F1196E" w:rsidRPr="008139B2">
        <w:rPr>
          <w:rFonts w:eastAsiaTheme="minorHAnsi"/>
          <w:color w:val="0D0D0D" w:themeColor="text1" w:themeTint="F2"/>
          <w:lang w:val="en-US"/>
        </w:rPr>
        <w:t>85</w:t>
      </w:r>
      <w:r>
        <w:rPr>
          <w:rFonts w:eastAsiaTheme="minorHAnsi"/>
          <w:color w:val="0D0D0D" w:themeColor="text1" w:themeTint="F2"/>
          <w:lang w:val="en-US"/>
        </w:rPr>
        <w:t xml:space="preserve"> %. </w:t>
      </w:r>
      <w:proofErr w:type="spellStart"/>
      <w:r>
        <w:rPr>
          <w:rFonts w:eastAsiaTheme="minorHAnsi"/>
          <w:color w:val="0D0D0D" w:themeColor="text1" w:themeTint="F2"/>
          <w:lang w:val="en-US"/>
        </w:rPr>
        <w:t>Nga</w:t>
      </w:r>
      <w:proofErr w:type="spellEnd"/>
      <w:r>
        <w:rPr>
          <w:rFonts w:eastAsiaTheme="minorHAnsi"/>
          <w:color w:val="0D0D0D" w:themeColor="text1" w:themeTint="F2"/>
          <w:lang w:val="en-US"/>
        </w:rPr>
        <w:t xml:space="preserve"> të</w:t>
      </w:r>
      <w:r w:rsidR="00647B92" w:rsidRPr="008139B2">
        <w:rPr>
          <w:rFonts w:eastAsiaTheme="minorHAnsi"/>
          <w:color w:val="0D0D0D" w:themeColor="text1" w:themeTint="F2"/>
          <w:lang w:val="en-US"/>
        </w:rPr>
        <w:t xml:space="preserve"> </w:t>
      </w:r>
      <w:proofErr w:type="spellStart"/>
      <w:r w:rsidR="00647B92" w:rsidRPr="008139B2">
        <w:rPr>
          <w:rFonts w:eastAsiaTheme="minorHAnsi"/>
          <w:color w:val="0D0D0D" w:themeColor="text1" w:themeTint="F2"/>
          <w:lang w:val="en-US"/>
        </w:rPr>
        <w:t>d</w:t>
      </w:r>
      <w:r>
        <w:rPr>
          <w:rFonts w:eastAsiaTheme="minorHAnsi"/>
          <w:color w:val="0D0D0D" w:themeColor="text1" w:themeTint="F2"/>
          <w:lang w:val="en-US"/>
        </w:rPr>
        <w:t>hënat</w:t>
      </w:r>
      <w:proofErr w:type="spellEnd"/>
      <w:r>
        <w:rPr>
          <w:rFonts w:eastAsiaTheme="minorHAnsi"/>
          <w:color w:val="0D0D0D" w:themeColor="text1" w:themeTint="F2"/>
          <w:lang w:val="en-US"/>
        </w:rPr>
        <w:t xml:space="preserve"> e </w:t>
      </w:r>
      <w:proofErr w:type="spellStart"/>
      <w:r>
        <w:rPr>
          <w:rFonts w:eastAsiaTheme="minorHAnsi"/>
          <w:color w:val="0D0D0D" w:themeColor="text1" w:themeTint="F2"/>
          <w:lang w:val="en-US"/>
        </w:rPr>
        <w:t>deritanishme</w:t>
      </w:r>
      <w:proofErr w:type="spellEnd"/>
      <w:r>
        <w:rPr>
          <w:rFonts w:eastAsiaTheme="minorHAnsi"/>
          <w:color w:val="0D0D0D" w:themeColor="text1" w:themeTint="F2"/>
          <w:lang w:val="en-US"/>
        </w:rPr>
        <w:t>,</w:t>
      </w:r>
      <w:r w:rsidR="00293788" w:rsidRPr="008139B2">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lidhur</w:t>
      </w:r>
      <w:proofErr w:type="spellEnd"/>
      <w:r w:rsidR="00293788" w:rsidRPr="008139B2">
        <w:rPr>
          <w:rFonts w:eastAsiaTheme="minorHAnsi"/>
          <w:color w:val="0D0D0D" w:themeColor="text1" w:themeTint="F2"/>
          <w:lang w:val="en-US"/>
        </w:rPr>
        <w:t xml:space="preserve"> me Mbrojtjen e të </w:t>
      </w:r>
      <w:proofErr w:type="spellStart"/>
      <w:r w:rsidR="00293788" w:rsidRPr="008139B2">
        <w:rPr>
          <w:rFonts w:eastAsiaTheme="minorHAnsi"/>
          <w:color w:val="0D0D0D" w:themeColor="text1" w:themeTint="F2"/>
          <w:lang w:val="en-US"/>
        </w:rPr>
        <w:t>dhënave</w:t>
      </w:r>
      <w:proofErr w:type="spellEnd"/>
      <w:r w:rsidR="00293788" w:rsidRPr="008139B2">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personale</w:t>
      </w:r>
      <w:proofErr w:type="spellEnd"/>
      <w:r w:rsidR="00293788" w:rsidRPr="008139B2">
        <w:rPr>
          <w:rFonts w:eastAsiaTheme="minorHAnsi"/>
          <w:color w:val="0D0D0D" w:themeColor="text1" w:themeTint="F2"/>
          <w:lang w:val="en-US"/>
        </w:rPr>
        <w:t xml:space="preserve"> 40 </w:t>
      </w:r>
      <w:proofErr w:type="spellStart"/>
      <w:r w:rsidR="00293788" w:rsidRPr="008139B2">
        <w:rPr>
          <w:rFonts w:eastAsiaTheme="minorHAnsi"/>
          <w:color w:val="0D0D0D" w:themeColor="text1" w:themeTint="F2"/>
          <w:lang w:val="en-US"/>
        </w:rPr>
        <w:t>akte</w:t>
      </w:r>
      <w:proofErr w:type="spellEnd"/>
      <w:r w:rsidR="00293788" w:rsidRPr="008139B2">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janë</w:t>
      </w:r>
      <w:proofErr w:type="spellEnd"/>
      <w:r w:rsidR="00293788" w:rsidRPr="008139B2">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ankimuar</w:t>
      </w:r>
      <w:proofErr w:type="spellEnd"/>
      <w:r w:rsidR="00293788" w:rsidRPr="008139B2">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në</w:t>
      </w:r>
      <w:proofErr w:type="spellEnd"/>
      <w:r w:rsidR="00293788" w:rsidRPr="008139B2">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gjyka</w:t>
      </w:r>
      <w:r>
        <w:rPr>
          <w:rFonts w:eastAsiaTheme="minorHAnsi"/>
          <w:color w:val="0D0D0D" w:themeColor="text1" w:themeTint="F2"/>
          <w:lang w:val="en-US"/>
        </w:rPr>
        <w:t>të</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nga</w:t>
      </w:r>
      <w:proofErr w:type="spellEnd"/>
      <w:r>
        <w:rPr>
          <w:rFonts w:eastAsiaTheme="minorHAnsi"/>
          <w:color w:val="0D0D0D" w:themeColor="text1" w:themeTint="F2"/>
          <w:lang w:val="en-US"/>
        </w:rPr>
        <w:t xml:space="preserve"> të </w:t>
      </w:r>
      <w:proofErr w:type="spellStart"/>
      <w:r>
        <w:rPr>
          <w:rFonts w:eastAsiaTheme="minorHAnsi"/>
          <w:color w:val="0D0D0D" w:themeColor="text1" w:themeTint="F2"/>
          <w:lang w:val="en-US"/>
        </w:rPr>
        <w:t>cilat</w:t>
      </w:r>
      <w:proofErr w:type="spellEnd"/>
      <w:r>
        <w:rPr>
          <w:rFonts w:eastAsiaTheme="minorHAnsi"/>
          <w:color w:val="0D0D0D" w:themeColor="text1" w:themeTint="F2"/>
          <w:lang w:val="en-US"/>
        </w:rPr>
        <w:t xml:space="preserve"> 30 </w:t>
      </w:r>
      <w:proofErr w:type="spellStart"/>
      <w:r>
        <w:rPr>
          <w:rFonts w:eastAsiaTheme="minorHAnsi"/>
          <w:color w:val="0D0D0D" w:themeColor="text1" w:themeTint="F2"/>
          <w:lang w:val="en-US"/>
        </w:rPr>
        <w:t>janë</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fituar</w:t>
      </w:r>
      <w:proofErr w:type="spellEnd"/>
      <w:r>
        <w:rPr>
          <w:rFonts w:eastAsiaTheme="minorHAnsi"/>
          <w:color w:val="0D0D0D" w:themeColor="text1" w:themeTint="F2"/>
          <w:lang w:val="en-US"/>
        </w:rPr>
        <w:t xml:space="preserve"> </w:t>
      </w:r>
      <w:r w:rsidR="00293788" w:rsidRPr="008139B2">
        <w:rPr>
          <w:rFonts w:eastAsiaTheme="minorHAnsi"/>
          <w:color w:val="0D0D0D" w:themeColor="text1" w:themeTint="F2"/>
          <w:lang w:val="en-US"/>
        </w:rPr>
        <w:t xml:space="preserve">dhe </w:t>
      </w:r>
      <w:proofErr w:type="spellStart"/>
      <w:r w:rsidR="00293788" w:rsidRPr="008139B2">
        <w:rPr>
          <w:rFonts w:eastAsiaTheme="minorHAnsi"/>
          <w:color w:val="0D0D0D" w:themeColor="text1" w:themeTint="F2"/>
          <w:lang w:val="en-US"/>
        </w:rPr>
        <w:t>vetëm</w:t>
      </w:r>
      <w:proofErr w:type="spellEnd"/>
      <w:r w:rsidR="00293788" w:rsidRPr="008139B2">
        <w:rPr>
          <w:rFonts w:eastAsiaTheme="minorHAnsi"/>
          <w:color w:val="0D0D0D" w:themeColor="text1" w:themeTint="F2"/>
          <w:lang w:val="en-US"/>
        </w:rPr>
        <w:t xml:space="preserve"> 3 </w:t>
      </w:r>
      <w:proofErr w:type="spellStart"/>
      <w:r w:rsidR="00293788" w:rsidRPr="008139B2">
        <w:rPr>
          <w:rFonts w:eastAsiaTheme="minorHAnsi"/>
          <w:color w:val="0D0D0D" w:themeColor="text1" w:themeTint="F2"/>
          <w:lang w:val="en-US"/>
        </w:rPr>
        <w:t>janë</w:t>
      </w:r>
      <w:proofErr w:type="spellEnd"/>
      <w:r w:rsidR="00293788" w:rsidRPr="008139B2">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humbur</w:t>
      </w:r>
      <w:proofErr w:type="spellEnd"/>
      <w:r w:rsidR="00293788" w:rsidRPr="008139B2">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ndërsa</w:t>
      </w:r>
      <w:proofErr w:type="spellEnd"/>
      <w:r w:rsidR="00293788" w:rsidRPr="008139B2">
        <w:rPr>
          <w:rFonts w:eastAsiaTheme="minorHAnsi"/>
          <w:color w:val="0D0D0D" w:themeColor="text1" w:themeTint="F2"/>
          <w:lang w:val="en-US"/>
        </w:rPr>
        <w:t xml:space="preserve"> të </w:t>
      </w:r>
      <w:proofErr w:type="spellStart"/>
      <w:r w:rsidR="00293788" w:rsidRPr="008139B2">
        <w:rPr>
          <w:rFonts w:eastAsiaTheme="minorHAnsi"/>
          <w:color w:val="0D0D0D" w:themeColor="text1" w:themeTint="F2"/>
          <w:lang w:val="en-US"/>
        </w:rPr>
        <w:t>tjerat</w:t>
      </w:r>
      <w:proofErr w:type="spellEnd"/>
      <w:r w:rsidR="00293788" w:rsidRPr="008139B2">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janë</w:t>
      </w:r>
      <w:proofErr w:type="spellEnd"/>
      <w:r w:rsidR="00293788" w:rsidRPr="008139B2">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në</w:t>
      </w:r>
      <w:proofErr w:type="spellEnd"/>
      <w:r w:rsidR="00293788" w:rsidRPr="008139B2">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proces</w:t>
      </w:r>
      <w:proofErr w:type="spellEnd"/>
      <w:r w:rsidR="00293788" w:rsidRPr="008139B2">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gjykimi</w:t>
      </w:r>
      <w:proofErr w:type="spellEnd"/>
      <w:r w:rsidR="00293788" w:rsidRPr="008139B2">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apo</w:t>
      </w:r>
      <w:proofErr w:type="spellEnd"/>
      <w:r w:rsidR="00293788" w:rsidRPr="008139B2">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në</w:t>
      </w:r>
      <w:proofErr w:type="spellEnd"/>
      <w:r w:rsidR="00293788" w:rsidRPr="008139B2">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shkallë</w:t>
      </w:r>
      <w:proofErr w:type="spellEnd"/>
      <w:r>
        <w:rPr>
          <w:rFonts w:eastAsiaTheme="minorHAnsi"/>
          <w:color w:val="0D0D0D" w:themeColor="text1" w:themeTint="F2"/>
          <w:lang w:val="en-US"/>
        </w:rPr>
        <w:t xml:space="preserve"> të </w:t>
      </w:r>
      <w:proofErr w:type="spellStart"/>
      <w:r>
        <w:rPr>
          <w:rFonts w:eastAsiaTheme="minorHAnsi"/>
          <w:color w:val="0D0D0D" w:themeColor="text1" w:themeTint="F2"/>
          <w:lang w:val="en-US"/>
        </w:rPr>
        <w:t>tjera</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gjykimi</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Ky</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tregues</w:t>
      </w:r>
      <w:proofErr w:type="spellEnd"/>
      <w:r>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i</w:t>
      </w:r>
      <w:proofErr w:type="spellEnd"/>
      <w:r w:rsidR="00293788" w:rsidRPr="008139B2">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realizuar</w:t>
      </w:r>
      <w:proofErr w:type="spellEnd"/>
      <w:r w:rsidR="00293788" w:rsidRPr="008139B2">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apo</w:t>
      </w:r>
      <w:proofErr w:type="spellEnd"/>
      <w:r w:rsidR="00293788" w:rsidRPr="008139B2">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në</w:t>
      </w:r>
      <w:proofErr w:type="spellEnd"/>
      <w:r w:rsidR="00293788" w:rsidRPr="008139B2">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pritshmëri</w:t>
      </w:r>
      <w:proofErr w:type="spellEnd"/>
      <w:r w:rsidR="00293788" w:rsidRPr="008139B2">
        <w:rPr>
          <w:rFonts w:eastAsiaTheme="minorHAnsi"/>
          <w:color w:val="0D0D0D" w:themeColor="text1" w:themeTint="F2"/>
          <w:lang w:val="en-US"/>
        </w:rPr>
        <w:t xml:space="preserve"> të </w:t>
      </w:r>
      <w:proofErr w:type="spellStart"/>
      <w:r w:rsidR="00293788" w:rsidRPr="008139B2">
        <w:rPr>
          <w:rFonts w:eastAsiaTheme="minorHAnsi"/>
          <w:color w:val="0D0D0D" w:themeColor="text1" w:themeTint="F2"/>
          <w:lang w:val="en-US"/>
        </w:rPr>
        <w:t>gjykimit</w:t>
      </w:r>
      <w:proofErr w:type="spellEnd"/>
      <w:r w:rsidR="00293788" w:rsidRPr="008139B2">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vlerëso</w:t>
      </w:r>
      <w:r>
        <w:rPr>
          <w:rFonts w:eastAsiaTheme="minorHAnsi"/>
          <w:color w:val="0D0D0D" w:themeColor="text1" w:themeTint="F2"/>
          <w:lang w:val="en-US"/>
        </w:rPr>
        <w:t>het</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në</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një</w:t>
      </w:r>
      <w:proofErr w:type="spellEnd"/>
      <w:r>
        <w:rPr>
          <w:rFonts w:eastAsiaTheme="minorHAnsi"/>
          <w:color w:val="0D0D0D" w:themeColor="text1" w:themeTint="F2"/>
          <w:lang w:val="en-US"/>
        </w:rPr>
        <w:t xml:space="preserve"> trend </w:t>
      </w:r>
      <w:proofErr w:type="spellStart"/>
      <w:r>
        <w:rPr>
          <w:rFonts w:eastAsiaTheme="minorHAnsi"/>
          <w:color w:val="0D0D0D" w:themeColor="text1" w:themeTint="F2"/>
          <w:lang w:val="en-US"/>
        </w:rPr>
        <w:t>tepër</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pozitiv</w:t>
      </w:r>
      <w:proofErr w:type="spellEnd"/>
      <w:r>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krahasimisht</w:t>
      </w:r>
      <w:proofErr w:type="spellEnd"/>
      <w:r w:rsidR="00293788" w:rsidRPr="008139B2">
        <w:rPr>
          <w:rFonts w:eastAsiaTheme="minorHAnsi"/>
          <w:color w:val="0D0D0D" w:themeColor="text1" w:themeTint="F2"/>
          <w:lang w:val="en-US"/>
        </w:rPr>
        <w:t xml:space="preserve"> me target </w:t>
      </w:r>
      <w:proofErr w:type="spellStart"/>
      <w:r w:rsidR="00293788" w:rsidRPr="008139B2">
        <w:rPr>
          <w:rFonts w:eastAsiaTheme="minorHAnsi"/>
          <w:color w:val="0D0D0D" w:themeColor="text1" w:themeTint="F2"/>
          <w:lang w:val="en-US"/>
        </w:rPr>
        <w:t>planin</w:t>
      </w:r>
      <w:proofErr w:type="spellEnd"/>
      <w:r w:rsidR="00293788" w:rsidRPr="008139B2">
        <w:rPr>
          <w:rFonts w:eastAsiaTheme="minorHAnsi"/>
          <w:color w:val="0D0D0D" w:themeColor="text1" w:themeTint="F2"/>
          <w:lang w:val="en-US"/>
        </w:rPr>
        <w:t xml:space="preserve"> e </w:t>
      </w:r>
      <w:proofErr w:type="spellStart"/>
      <w:r w:rsidR="00293788" w:rsidRPr="008139B2">
        <w:rPr>
          <w:rFonts w:eastAsiaTheme="minorHAnsi"/>
          <w:color w:val="0D0D0D" w:themeColor="text1" w:themeTint="F2"/>
          <w:lang w:val="en-US"/>
        </w:rPr>
        <w:t>këtij</w:t>
      </w:r>
      <w:proofErr w:type="spellEnd"/>
      <w:r w:rsidR="00293788" w:rsidRPr="008139B2">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treguesi</w:t>
      </w:r>
      <w:proofErr w:type="spellEnd"/>
      <w:r w:rsidR="00293788" w:rsidRPr="008139B2">
        <w:rPr>
          <w:rFonts w:eastAsiaTheme="minorHAnsi"/>
          <w:color w:val="0D0D0D" w:themeColor="text1" w:themeTint="F2"/>
          <w:lang w:val="en-US"/>
        </w:rPr>
        <w:t xml:space="preserve">, duke </w:t>
      </w:r>
      <w:proofErr w:type="spellStart"/>
      <w:r w:rsidR="00293788" w:rsidRPr="008139B2">
        <w:rPr>
          <w:rFonts w:eastAsiaTheme="minorHAnsi"/>
          <w:color w:val="0D0D0D" w:themeColor="text1" w:themeTint="F2"/>
          <w:lang w:val="en-US"/>
        </w:rPr>
        <w:t>marre</w:t>
      </w:r>
      <w:proofErr w:type="spellEnd"/>
      <w:r w:rsidR="00293788" w:rsidRPr="008139B2">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parasysh</w:t>
      </w:r>
      <w:proofErr w:type="spellEnd"/>
      <w:r w:rsidR="00293788" w:rsidRPr="008139B2">
        <w:rPr>
          <w:rFonts w:eastAsiaTheme="minorHAnsi"/>
          <w:color w:val="0D0D0D" w:themeColor="text1" w:themeTint="F2"/>
          <w:lang w:val="en-US"/>
        </w:rPr>
        <w:t xml:space="preserve"> s</w:t>
      </w:r>
      <w:r>
        <w:rPr>
          <w:rFonts w:eastAsiaTheme="minorHAnsi"/>
          <w:color w:val="0D0D0D" w:themeColor="text1" w:themeTint="F2"/>
          <w:lang w:val="en-US"/>
        </w:rPr>
        <w:t xml:space="preserve">e </w:t>
      </w:r>
      <w:proofErr w:type="spellStart"/>
      <w:r>
        <w:rPr>
          <w:rFonts w:eastAsiaTheme="minorHAnsi"/>
          <w:color w:val="0D0D0D" w:themeColor="text1" w:themeTint="F2"/>
          <w:lang w:val="en-US"/>
        </w:rPr>
        <w:t>vetem</w:t>
      </w:r>
      <w:proofErr w:type="spellEnd"/>
      <w:r>
        <w:rPr>
          <w:rFonts w:eastAsiaTheme="minorHAnsi"/>
          <w:color w:val="0D0D0D" w:themeColor="text1" w:themeTint="F2"/>
          <w:lang w:val="en-US"/>
        </w:rPr>
        <w:t xml:space="preserve"> 3 </w:t>
      </w:r>
      <w:proofErr w:type="spellStart"/>
      <w:r>
        <w:rPr>
          <w:rFonts w:eastAsiaTheme="minorHAnsi"/>
          <w:color w:val="0D0D0D" w:themeColor="text1" w:themeTint="F2"/>
          <w:lang w:val="en-US"/>
        </w:rPr>
        <w:t>çështje</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janë</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rrëzuar</w:t>
      </w:r>
      <w:proofErr w:type="spellEnd"/>
      <w:r>
        <w:rPr>
          <w:rFonts w:eastAsiaTheme="minorHAnsi"/>
          <w:color w:val="0D0D0D" w:themeColor="text1" w:themeTint="F2"/>
          <w:lang w:val="en-US"/>
        </w:rPr>
        <w:t>.</w:t>
      </w:r>
    </w:p>
    <w:p w:rsidR="00462B73" w:rsidRDefault="00E76D5D" w:rsidP="00462B73">
      <w:pPr>
        <w:autoSpaceDE w:val="0"/>
        <w:autoSpaceDN w:val="0"/>
        <w:adjustRightInd w:val="0"/>
        <w:spacing w:line="276" w:lineRule="auto"/>
        <w:jc w:val="both"/>
        <w:rPr>
          <w:rFonts w:eastAsiaTheme="minorHAnsi"/>
          <w:color w:val="0D0D0D" w:themeColor="text1" w:themeTint="F2"/>
          <w:lang w:val="en-US"/>
        </w:rPr>
      </w:pPr>
      <w:proofErr w:type="spellStart"/>
      <w:r>
        <w:rPr>
          <w:rFonts w:eastAsiaTheme="minorHAnsi"/>
          <w:color w:val="0D0D0D" w:themeColor="text1" w:themeTint="F2"/>
          <w:lang w:val="en-US"/>
        </w:rPr>
        <w:lastRenderedPageBreak/>
        <w:t>Nga</w:t>
      </w:r>
      <w:proofErr w:type="spellEnd"/>
      <w:r>
        <w:rPr>
          <w:rFonts w:eastAsiaTheme="minorHAnsi"/>
          <w:color w:val="0D0D0D" w:themeColor="text1" w:themeTint="F2"/>
          <w:lang w:val="en-US"/>
        </w:rPr>
        <w:t xml:space="preserve"> të </w:t>
      </w:r>
      <w:proofErr w:type="spellStart"/>
      <w:r>
        <w:rPr>
          <w:rFonts w:eastAsiaTheme="minorHAnsi"/>
          <w:color w:val="0D0D0D" w:themeColor="text1" w:themeTint="F2"/>
          <w:lang w:val="en-US"/>
        </w:rPr>
        <w:t>dhënat</w:t>
      </w:r>
      <w:proofErr w:type="spellEnd"/>
      <w:r>
        <w:rPr>
          <w:rFonts w:eastAsiaTheme="minorHAnsi"/>
          <w:color w:val="0D0D0D" w:themeColor="text1" w:themeTint="F2"/>
          <w:lang w:val="en-US"/>
        </w:rPr>
        <w:t xml:space="preserve"> e </w:t>
      </w:r>
      <w:proofErr w:type="spellStart"/>
      <w:r>
        <w:rPr>
          <w:rFonts w:eastAsiaTheme="minorHAnsi"/>
          <w:color w:val="0D0D0D" w:themeColor="text1" w:themeTint="F2"/>
          <w:lang w:val="en-US"/>
        </w:rPr>
        <w:t>deritanishme</w:t>
      </w:r>
      <w:proofErr w:type="spellEnd"/>
      <w:r>
        <w:rPr>
          <w:rFonts w:eastAsiaTheme="minorHAnsi"/>
          <w:color w:val="0D0D0D" w:themeColor="text1" w:themeTint="F2"/>
          <w:lang w:val="en-US"/>
        </w:rPr>
        <w:t xml:space="preserve">, </w:t>
      </w:r>
      <w:proofErr w:type="spellStart"/>
      <w:r w:rsidR="00293788" w:rsidRPr="008139B2">
        <w:rPr>
          <w:rFonts w:eastAsiaTheme="minorHAnsi"/>
          <w:color w:val="0D0D0D" w:themeColor="text1" w:themeTint="F2"/>
          <w:lang w:val="en-US"/>
        </w:rPr>
        <w:t>lidhur</w:t>
      </w:r>
      <w:proofErr w:type="spellEnd"/>
      <w:r w:rsidR="00293788" w:rsidRPr="008139B2">
        <w:rPr>
          <w:rFonts w:eastAsiaTheme="minorHAnsi"/>
          <w:color w:val="0D0D0D" w:themeColor="text1" w:themeTint="F2"/>
          <w:lang w:val="en-US"/>
        </w:rPr>
        <w:t xml:space="preserve"> me </w:t>
      </w:r>
      <w:r w:rsidR="00462B73" w:rsidRPr="008139B2">
        <w:rPr>
          <w:rFonts w:eastAsiaTheme="minorHAnsi"/>
          <w:color w:val="0D0D0D" w:themeColor="text1" w:themeTint="F2"/>
          <w:lang w:val="en-US"/>
        </w:rPr>
        <w:t>të</w:t>
      </w:r>
      <w:r w:rsidR="00CB086F" w:rsidRPr="008139B2">
        <w:rPr>
          <w:rFonts w:eastAsiaTheme="minorHAnsi"/>
          <w:color w:val="0D0D0D" w:themeColor="text1" w:themeTint="F2"/>
          <w:lang w:val="en-US"/>
        </w:rPr>
        <w:t xml:space="preserve"> </w:t>
      </w:r>
      <w:proofErr w:type="spellStart"/>
      <w:r w:rsidR="00CB086F" w:rsidRPr="008139B2">
        <w:rPr>
          <w:rFonts w:eastAsiaTheme="minorHAnsi"/>
          <w:color w:val="0D0D0D" w:themeColor="text1" w:themeTint="F2"/>
          <w:lang w:val="en-US"/>
        </w:rPr>
        <w:t>drejt</w:t>
      </w:r>
      <w:r>
        <w:rPr>
          <w:rFonts w:eastAsiaTheme="minorHAnsi"/>
          <w:color w:val="0D0D0D" w:themeColor="text1" w:themeTint="F2"/>
          <w:lang w:val="en-US"/>
        </w:rPr>
        <w:t>ën</w:t>
      </w:r>
      <w:proofErr w:type="spellEnd"/>
      <w:r>
        <w:rPr>
          <w:rFonts w:eastAsiaTheme="minorHAnsi"/>
          <w:color w:val="0D0D0D" w:themeColor="text1" w:themeTint="F2"/>
          <w:lang w:val="en-US"/>
        </w:rPr>
        <w:t xml:space="preserve"> e Informimit, 22 </w:t>
      </w:r>
      <w:proofErr w:type="spellStart"/>
      <w:r w:rsidR="00462B73" w:rsidRPr="008139B2">
        <w:rPr>
          <w:rFonts w:eastAsiaTheme="minorHAnsi"/>
          <w:color w:val="0D0D0D" w:themeColor="text1" w:themeTint="F2"/>
          <w:lang w:val="en-US"/>
        </w:rPr>
        <w:t>çështje</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janë</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ankimuar</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në</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gjykatë</w:t>
      </w:r>
      <w:proofErr w:type="spellEnd"/>
      <w:r w:rsidR="00462B73" w:rsidRPr="008139B2">
        <w:rPr>
          <w:rFonts w:eastAsiaTheme="minorHAnsi"/>
          <w:color w:val="0D0D0D" w:themeColor="text1" w:themeTint="F2"/>
          <w:lang w:val="en-US"/>
        </w:rPr>
        <w:t xml:space="preserve"> (10 të </w:t>
      </w:r>
      <w:proofErr w:type="spellStart"/>
      <w:r w:rsidR="00462B73" w:rsidRPr="008139B2">
        <w:rPr>
          <w:rFonts w:eastAsiaTheme="minorHAnsi"/>
          <w:color w:val="0D0D0D" w:themeColor="text1" w:themeTint="F2"/>
          <w:lang w:val="en-US"/>
        </w:rPr>
        <w:t>mbartura</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nga</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viti</w:t>
      </w:r>
      <w:proofErr w:type="spellEnd"/>
      <w:r>
        <w:rPr>
          <w:rFonts w:eastAsiaTheme="minorHAnsi"/>
          <w:color w:val="0D0D0D" w:themeColor="text1" w:themeTint="F2"/>
          <w:lang w:val="en-US"/>
        </w:rPr>
        <w:t xml:space="preserve"> 2024 dhe 9 </w:t>
      </w:r>
      <w:proofErr w:type="spellStart"/>
      <w:r>
        <w:rPr>
          <w:rFonts w:eastAsiaTheme="minorHAnsi"/>
          <w:color w:val="0D0D0D" w:themeColor="text1" w:themeTint="F2"/>
          <w:lang w:val="en-US"/>
        </w:rPr>
        <w:t>nga</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viti</w:t>
      </w:r>
      <w:proofErr w:type="spellEnd"/>
      <w:r>
        <w:rPr>
          <w:rFonts w:eastAsiaTheme="minorHAnsi"/>
          <w:color w:val="0D0D0D" w:themeColor="text1" w:themeTint="F2"/>
          <w:lang w:val="en-US"/>
        </w:rPr>
        <w:t xml:space="preserve"> 2025). </w:t>
      </w:r>
      <w:proofErr w:type="spellStart"/>
      <w:r>
        <w:rPr>
          <w:rFonts w:eastAsiaTheme="minorHAnsi"/>
          <w:color w:val="0D0D0D" w:themeColor="text1" w:themeTint="F2"/>
          <w:lang w:val="en-US"/>
        </w:rPr>
        <w:t>Konstatojmë</w:t>
      </w:r>
      <w:proofErr w:type="spellEnd"/>
      <w:r>
        <w:rPr>
          <w:rFonts w:eastAsiaTheme="minorHAnsi"/>
          <w:color w:val="0D0D0D" w:themeColor="text1" w:themeTint="F2"/>
          <w:lang w:val="en-US"/>
        </w:rPr>
        <w:t xml:space="preserve"> se 8 </w:t>
      </w:r>
      <w:proofErr w:type="spellStart"/>
      <w:r>
        <w:rPr>
          <w:rFonts w:eastAsiaTheme="minorHAnsi"/>
          <w:color w:val="0D0D0D" w:themeColor="text1" w:themeTint="F2"/>
          <w:lang w:val="en-US"/>
        </w:rPr>
        <w:t>vendime</w:t>
      </w:r>
      <w:proofErr w:type="spellEnd"/>
      <w:r>
        <w:rPr>
          <w:rFonts w:eastAsiaTheme="minorHAnsi"/>
          <w:color w:val="0D0D0D" w:themeColor="text1" w:themeTint="F2"/>
          <w:lang w:val="en-US"/>
        </w:rPr>
        <w:t xml:space="preserve"> të </w:t>
      </w:r>
      <w:r w:rsidR="00462B73" w:rsidRPr="008139B2">
        <w:rPr>
          <w:rFonts w:eastAsiaTheme="minorHAnsi"/>
          <w:color w:val="0D0D0D" w:themeColor="text1" w:themeTint="F2"/>
          <w:lang w:val="en-US"/>
        </w:rPr>
        <w:t xml:space="preserve">KDIMDP, </w:t>
      </w:r>
      <w:proofErr w:type="spellStart"/>
      <w:r w:rsidR="00462B73" w:rsidRPr="008139B2">
        <w:rPr>
          <w:rFonts w:eastAsiaTheme="minorHAnsi"/>
          <w:color w:val="0D0D0D" w:themeColor="text1" w:themeTint="F2"/>
          <w:lang w:val="en-US"/>
        </w:rPr>
        <w:t>mbeten</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në</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fuqi</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ndërsa</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është</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rrëzuar</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vetëm</w:t>
      </w:r>
      <w:proofErr w:type="spellEnd"/>
      <w:r w:rsidR="00462B73" w:rsidRPr="008139B2">
        <w:rPr>
          <w:rFonts w:eastAsiaTheme="minorHAnsi"/>
          <w:color w:val="0D0D0D" w:themeColor="text1" w:themeTint="F2"/>
          <w:lang w:val="en-US"/>
        </w:rPr>
        <w:t xml:space="preserve"> 1 </w:t>
      </w:r>
      <w:proofErr w:type="spellStart"/>
      <w:r w:rsidR="00462B73" w:rsidRPr="008139B2">
        <w:rPr>
          <w:rFonts w:eastAsiaTheme="minorHAnsi"/>
          <w:color w:val="0D0D0D" w:themeColor="text1" w:themeTint="F2"/>
          <w:lang w:val="en-US"/>
        </w:rPr>
        <w:t>Vendim</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Çështjet</w:t>
      </w:r>
      <w:proofErr w:type="spellEnd"/>
      <w:r w:rsidR="00462B73" w:rsidRPr="008139B2">
        <w:rPr>
          <w:rFonts w:eastAsiaTheme="minorHAnsi"/>
          <w:color w:val="0D0D0D" w:themeColor="text1" w:themeTint="F2"/>
          <w:lang w:val="en-US"/>
        </w:rPr>
        <w:t xml:space="preserve"> e </w:t>
      </w:r>
      <w:proofErr w:type="spellStart"/>
      <w:r w:rsidR="00462B73" w:rsidRPr="008139B2">
        <w:rPr>
          <w:rFonts w:eastAsiaTheme="minorHAnsi"/>
          <w:color w:val="0D0D0D" w:themeColor="text1" w:themeTint="F2"/>
          <w:lang w:val="en-US"/>
        </w:rPr>
        <w:t>tjera</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janë</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në</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proces</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shqyrtimi</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Ky</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tregues</w:t>
      </w:r>
      <w:proofErr w:type="spellEnd"/>
      <w:r>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i</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realizuar</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apo</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në</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pritshmëri</w:t>
      </w:r>
      <w:proofErr w:type="spellEnd"/>
      <w:r w:rsidR="00462B73" w:rsidRPr="008139B2">
        <w:rPr>
          <w:rFonts w:eastAsiaTheme="minorHAnsi"/>
          <w:color w:val="0D0D0D" w:themeColor="text1" w:themeTint="F2"/>
          <w:lang w:val="en-US"/>
        </w:rPr>
        <w:t xml:space="preserve"> të </w:t>
      </w:r>
      <w:proofErr w:type="spellStart"/>
      <w:r w:rsidR="00462B73" w:rsidRPr="008139B2">
        <w:rPr>
          <w:rFonts w:eastAsiaTheme="minorHAnsi"/>
          <w:color w:val="0D0D0D" w:themeColor="text1" w:themeTint="F2"/>
          <w:lang w:val="en-US"/>
        </w:rPr>
        <w:t>gjykimit</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vlerës</w:t>
      </w:r>
      <w:r>
        <w:rPr>
          <w:rFonts w:eastAsiaTheme="minorHAnsi"/>
          <w:color w:val="0D0D0D" w:themeColor="text1" w:themeTint="F2"/>
          <w:lang w:val="en-US"/>
        </w:rPr>
        <w:t>ohet</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në</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një</w:t>
      </w:r>
      <w:proofErr w:type="spellEnd"/>
      <w:r>
        <w:rPr>
          <w:rFonts w:eastAsiaTheme="minorHAnsi"/>
          <w:color w:val="0D0D0D" w:themeColor="text1" w:themeTint="F2"/>
          <w:lang w:val="en-US"/>
        </w:rPr>
        <w:t xml:space="preserve"> trend </w:t>
      </w:r>
      <w:proofErr w:type="spellStart"/>
      <w:r>
        <w:rPr>
          <w:rFonts w:eastAsiaTheme="minorHAnsi"/>
          <w:color w:val="0D0D0D" w:themeColor="text1" w:themeTint="F2"/>
          <w:lang w:val="en-US"/>
        </w:rPr>
        <w:t>tepër</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pozitiv</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krahasimisht</w:t>
      </w:r>
      <w:proofErr w:type="spellEnd"/>
      <w:r w:rsidR="00462B73" w:rsidRPr="008139B2">
        <w:rPr>
          <w:rFonts w:eastAsiaTheme="minorHAnsi"/>
          <w:color w:val="0D0D0D" w:themeColor="text1" w:themeTint="F2"/>
          <w:lang w:val="en-US"/>
        </w:rPr>
        <w:t xml:space="preserve"> me target </w:t>
      </w:r>
      <w:proofErr w:type="spellStart"/>
      <w:r w:rsidR="00462B73" w:rsidRPr="008139B2">
        <w:rPr>
          <w:rFonts w:eastAsiaTheme="minorHAnsi"/>
          <w:color w:val="0D0D0D" w:themeColor="text1" w:themeTint="F2"/>
          <w:lang w:val="en-US"/>
        </w:rPr>
        <w:t>planin</w:t>
      </w:r>
      <w:proofErr w:type="spellEnd"/>
      <w:r w:rsidR="00462B73" w:rsidRPr="008139B2">
        <w:rPr>
          <w:rFonts w:eastAsiaTheme="minorHAnsi"/>
          <w:color w:val="0D0D0D" w:themeColor="text1" w:themeTint="F2"/>
          <w:lang w:val="en-US"/>
        </w:rPr>
        <w:t xml:space="preserve"> e </w:t>
      </w:r>
      <w:proofErr w:type="spellStart"/>
      <w:r w:rsidR="00462B73" w:rsidRPr="008139B2">
        <w:rPr>
          <w:rFonts w:eastAsiaTheme="minorHAnsi"/>
          <w:color w:val="0D0D0D" w:themeColor="text1" w:themeTint="F2"/>
          <w:lang w:val="en-US"/>
        </w:rPr>
        <w:t>këtij</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treguesi</w:t>
      </w:r>
      <w:proofErr w:type="spellEnd"/>
      <w:r w:rsidR="00462B73" w:rsidRPr="008139B2">
        <w:rPr>
          <w:rFonts w:eastAsiaTheme="minorHAnsi"/>
          <w:color w:val="0D0D0D" w:themeColor="text1" w:themeTint="F2"/>
          <w:lang w:val="en-US"/>
        </w:rPr>
        <w:t xml:space="preserve">, duke </w:t>
      </w:r>
      <w:proofErr w:type="spellStart"/>
      <w:r w:rsidR="00462B73" w:rsidRPr="008139B2">
        <w:rPr>
          <w:rFonts w:eastAsiaTheme="minorHAnsi"/>
          <w:color w:val="0D0D0D" w:themeColor="text1" w:themeTint="F2"/>
          <w:lang w:val="en-US"/>
        </w:rPr>
        <w:t>marre</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parasysh</w:t>
      </w:r>
      <w:proofErr w:type="spellEnd"/>
      <w:r w:rsidR="00462B73" w:rsidRPr="008139B2">
        <w:rPr>
          <w:rFonts w:eastAsiaTheme="minorHAnsi"/>
          <w:color w:val="0D0D0D" w:themeColor="text1" w:themeTint="F2"/>
          <w:lang w:val="en-US"/>
        </w:rPr>
        <w:t xml:space="preserve"> se </w:t>
      </w:r>
      <w:proofErr w:type="spellStart"/>
      <w:r w:rsidR="00462B73" w:rsidRPr="008139B2">
        <w:rPr>
          <w:rFonts w:eastAsiaTheme="minorHAnsi"/>
          <w:color w:val="0D0D0D" w:themeColor="text1" w:themeTint="F2"/>
          <w:lang w:val="en-US"/>
        </w:rPr>
        <w:t>vetem</w:t>
      </w:r>
      <w:proofErr w:type="spellEnd"/>
      <w:r w:rsidR="00462B73" w:rsidRPr="008139B2">
        <w:rPr>
          <w:rFonts w:eastAsiaTheme="minorHAnsi"/>
          <w:color w:val="0D0D0D" w:themeColor="text1" w:themeTint="F2"/>
          <w:lang w:val="en-US"/>
        </w:rPr>
        <w:t xml:space="preserve"> 1 </w:t>
      </w:r>
      <w:proofErr w:type="spellStart"/>
      <w:r w:rsidR="00462B73" w:rsidRPr="008139B2">
        <w:rPr>
          <w:rFonts w:eastAsiaTheme="minorHAnsi"/>
          <w:color w:val="0D0D0D" w:themeColor="text1" w:themeTint="F2"/>
          <w:lang w:val="en-US"/>
        </w:rPr>
        <w:t>çështje</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është</w:t>
      </w:r>
      <w:proofErr w:type="spellEnd"/>
      <w:r w:rsidR="00462B73" w:rsidRPr="008139B2">
        <w:rPr>
          <w:rFonts w:eastAsiaTheme="minorHAnsi"/>
          <w:color w:val="0D0D0D" w:themeColor="text1" w:themeTint="F2"/>
          <w:lang w:val="en-US"/>
        </w:rPr>
        <w:t xml:space="preserve"> </w:t>
      </w:r>
      <w:proofErr w:type="spellStart"/>
      <w:r w:rsidR="00462B73" w:rsidRPr="008139B2">
        <w:rPr>
          <w:rFonts w:eastAsiaTheme="minorHAnsi"/>
          <w:color w:val="0D0D0D" w:themeColor="text1" w:themeTint="F2"/>
          <w:lang w:val="en-US"/>
        </w:rPr>
        <w:t>rrëzuar</w:t>
      </w:r>
      <w:proofErr w:type="spellEnd"/>
      <w:r w:rsidR="00462B73" w:rsidRPr="008139B2">
        <w:rPr>
          <w:rFonts w:eastAsiaTheme="minorHAnsi"/>
          <w:color w:val="0D0D0D" w:themeColor="text1" w:themeTint="F2"/>
          <w:lang w:val="en-US"/>
        </w:rPr>
        <w:t xml:space="preserve">. </w:t>
      </w:r>
    </w:p>
    <w:p w:rsidR="00F03355" w:rsidRPr="008139B2" w:rsidRDefault="00F03355" w:rsidP="00F03355">
      <w:pPr>
        <w:autoSpaceDE w:val="0"/>
        <w:autoSpaceDN w:val="0"/>
        <w:adjustRightInd w:val="0"/>
        <w:spacing w:line="276" w:lineRule="auto"/>
        <w:jc w:val="both"/>
        <w:rPr>
          <w:rFonts w:eastAsiaTheme="minorHAnsi"/>
          <w:color w:val="0D0D0D" w:themeColor="text1" w:themeTint="F2"/>
          <w:lang w:val="en-US"/>
        </w:rPr>
      </w:pPr>
      <w:proofErr w:type="spellStart"/>
      <w:r>
        <w:rPr>
          <w:rFonts w:eastAsiaTheme="minorHAnsi"/>
          <w:color w:val="0D0D0D" w:themeColor="text1" w:themeTint="F2"/>
          <w:lang w:val="en-US"/>
        </w:rPr>
        <w:t>Marrë</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në</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konsideratë</w:t>
      </w:r>
      <w:proofErr w:type="spellEnd"/>
      <w:r>
        <w:rPr>
          <w:rFonts w:eastAsiaTheme="minorHAnsi"/>
          <w:color w:val="0D0D0D" w:themeColor="text1" w:themeTint="F2"/>
          <w:lang w:val="en-US"/>
        </w:rPr>
        <w:t xml:space="preserve"> të </w:t>
      </w:r>
      <w:proofErr w:type="spellStart"/>
      <w:r>
        <w:rPr>
          <w:rFonts w:eastAsiaTheme="minorHAnsi"/>
          <w:color w:val="0D0D0D" w:themeColor="text1" w:themeTint="F2"/>
          <w:lang w:val="en-US"/>
        </w:rPr>
        <w:t>dhënat</w:t>
      </w:r>
      <w:proofErr w:type="spellEnd"/>
      <w:r>
        <w:rPr>
          <w:rFonts w:eastAsiaTheme="minorHAnsi"/>
          <w:color w:val="0D0D0D" w:themeColor="text1" w:themeTint="F2"/>
          <w:lang w:val="en-US"/>
        </w:rPr>
        <w:t xml:space="preserve"> e </w:t>
      </w:r>
      <w:proofErr w:type="spellStart"/>
      <w:proofErr w:type="gramStart"/>
      <w:r>
        <w:rPr>
          <w:rFonts w:eastAsiaTheme="minorHAnsi"/>
          <w:color w:val="0D0D0D" w:themeColor="text1" w:themeTint="F2"/>
          <w:lang w:val="en-US"/>
        </w:rPr>
        <w:t>deritanishme</w:t>
      </w:r>
      <w:proofErr w:type="spellEnd"/>
      <w:r>
        <w:rPr>
          <w:rFonts w:eastAsiaTheme="minorHAnsi"/>
          <w:color w:val="0D0D0D" w:themeColor="text1" w:themeTint="F2"/>
          <w:lang w:val="en-US"/>
        </w:rPr>
        <w:t xml:space="preserve">, </w:t>
      </w:r>
      <w:r>
        <w:rPr>
          <w:rFonts w:eastAsiaTheme="minorHAnsi"/>
          <w:color w:val="0D0D0D" w:themeColor="text1" w:themeTint="F2"/>
          <w:lang w:val="en-US"/>
        </w:rPr>
        <w:t xml:space="preserve"> </w:t>
      </w:r>
      <w:proofErr w:type="spellStart"/>
      <w:r>
        <w:rPr>
          <w:rFonts w:eastAsiaTheme="minorHAnsi"/>
          <w:color w:val="0D0D0D" w:themeColor="text1" w:themeTint="F2"/>
          <w:lang w:val="en-US"/>
        </w:rPr>
        <w:t>realizimi</w:t>
      </w:r>
      <w:proofErr w:type="spellEnd"/>
      <w:proofErr w:type="gramEnd"/>
      <w:r>
        <w:rPr>
          <w:rFonts w:eastAsiaTheme="minorHAnsi"/>
          <w:color w:val="0D0D0D" w:themeColor="text1" w:themeTint="F2"/>
          <w:lang w:val="en-US"/>
        </w:rPr>
        <w:t xml:space="preserve"> </w:t>
      </w:r>
      <w:proofErr w:type="spellStart"/>
      <w:r>
        <w:rPr>
          <w:rFonts w:eastAsiaTheme="minorHAnsi"/>
          <w:color w:val="0D0D0D" w:themeColor="text1" w:themeTint="F2"/>
          <w:lang w:val="en-US"/>
        </w:rPr>
        <w:t>parashikohet</w:t>
      </w:r>
      <w:proofErr w:type="spellEnd"/>
      <w:r>
        <w:rPr>
          <w:rFonts w:eastAsiaTheme="minorHAnsi"/>
          <w:color w:val="0D0D0D" w:themeColor="text1" w:themeTint="F2"/>
          <w:lang w:val="en-US"/>
        </w:rPr>
        <w:t xml:space="preserve"> të </w:t>
      </w:r>
      <w:proofErr w:type="spellStart"/>
      <w:r>
        <w:rPr>
          <w:rFonts w:eastAsiaTheme="minorHAnsi"/>
          <w:color w:val="0D0D0D" w:themeColor="text1" w:themeTint="F2"/>
          <w:lang w:val="en-US"/>
        </w:rPr>
        <w:t>jetë</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deri</w:t>
      </w:r>
      <w:proofErr w:type="spellEnd"/>
      <w:r>
        <w:rPr>
          <w:rFonts w:eastAsiaTheme="minorHAnsi"/>
          <w:color w:val="0D0D0D" w:themeColor="text1" w:themeTint="F2"/>
          <w:lang w:val="en-US"/>
        </w:rPr>
        <w:t xml:space="preserve"> </w:t>
      </w:r>
      <w:proofErr w:type="spellStart"/>
      <w:r>
        <w:rPr>
          <w:rFonts w:eastAsiaTheme="minorHAnsi"/>
          <w:color w:val="0D0D0D" w:themeColor="text1" w:themeTint="F2"/>
          <w:lang w:val="en-US"/>
        </w:rPr>
        <w:t>në</w:t>
      </w:r>
      <w:proofErr w:type="spellEnd"/>
      <w:r>
        <w:rPr>
          <w:rFonts w:eastAsiaTheme="minorHAnsi"/>
          <w:color w:val="0D0D0D" w:themeColor="text1" w:themeTint="F2"/>
          <w:lang w:val="en-US"/>
        </w:rPr>
        <w:t xml:space="preserve"> 90 %</w:t>
      </w:r>
    </w:p>
    <w:p w:rsidR="00280E39" w:rsidRPr="00E76D5D" w:rsidRDefault="00280E39" w:rsidP="0050721B">
      <w:pPr>
        <w:autoSpaceDE w:val="0"/>
        <w:autoSpaceDN w:val="0"/>
        <w:adjustRightInd w:val="0"/>
        <w:spacing w:line="276" w:lineRule="auto"/>
        <w:rPr>
          <w:rFonts w:eastAsiaTheme="minorHAnsi"/>
          <w:color w:val="FF0000"/>
          <w:sz w:val="14"/>
          <w:lang w:val="en-US"/>
        </w:rPr>
      </w:pPr>
      <w:bookmarkStart w:id="1" w:name="_GoBack"/>
      <w:bookmarkEnd w:id="1"/>
    </w:p>
    <w:p w:rsidR="00986A71" w:rsidRPr="0050721B" w:rsidRDefault="00E76D5D" w:rsidP="0050721B">
      <w:pPr>
        <w:autoSpaceDE w:val="0"/>
        <w:autoSpaceDN w:val="0"/>
        <w:adjustRightInd w:val="0"/>
        <w:spacing w:line="276" w:lineRule="auto"/>
        <w:rPr>
          <w:rFonts w:eastAsiaTheme="minorHAnsi"/>
          <w:lang w:val="en-US"/>
        </w:rPr>
      </w:pPr>
      <w:proofErr w:type="spellStart"/>
      <w:r>
        <w:rPr>
          <w:rFonts w:eastAsiaTheme="minorHAnsi"/>
          <w:lang w:val="en-US"/>
        </w:rPr>
        <w:t>Në</w:t>
      </w:r>
      <w:proofErr w:type="spellEnd"/>
      <w:r>
        <w:rPr>
          <w:rFonts w:eastAsiaTheme="minorHAnsi"/>
          <w:lang w:val="en-US"/>
        </w:rPr>
        <w:t xml:space="preserve"> </w:t>
      </w:r>
      <w:proofErr w:type="spellStart"/>
      <w:r w:rsidR="00986A71" w:rsidRPr="0050721B">
        <w:rPr>
          <w:rFonts w:eastAsiaTheme="minorHAnsi"/>
          <w:lang w:val="en-US"/>
        </w:rPr>
        <w:t>nivel</w:t>
      </w:r>
      <w:proofErr w:type="spellEnd"/>
      <w:r w:rsidR="00986A71" w:rsidRPr="0050721B">
        <w:rPr>
          <w:rFonts w:eastAsiaTheme="minorHAnsi"/>
          <w:lang w:val="en-US"/>
        </w:rPr>
        <w:t xml:space="preserve"> </w:t>
      </w:r>
      <w:proofErr w:type="spellStart"/>
      <w:r w:rsidR="00986A71" w:rsidRPr="0050721B">
        <w:rPr>
          <w:rFonts w:eastAsiaTheme="minorHAnsi"/>
          <w:lang w:val="en-US"/>
        </w:rPr>
        <w:t>operacional</w:t>
      </w:r>
      <w:proofErr w:type="spellEnd"/>
    </w:p>
    <w:p w:rsidR="00986A71" w:rsidRPr="0050721B" w:rsidRDefault="00986A71" w:rsidP="0050721B">
      <w:pPr>
        <w:autoSpaceDE w:val="0"/>
        <w:autoSpaceDN w:val="0"/>
        <w:adjustRightInd w:val="0"/>
        <w:spacing w:line="276" w:lineRule="auto"/>
        <w:rPr>
          <w:rFonts w:eastAsiaTheme="minorHAnsi"/>
          <w:lang w:val="en-US"/>
        </w:rPr>
      </w:pPr>
    </w:p>
    <w:p w:rsidR="00986A71" w:rsidRPr="0050721B" w:rsidRDefault="00E76D5D" w:rsidP="0050721B">
      <w:pPr>
        <w:pStyle w:val="ListParagraph"/>
        <w:numPr>
          <w:ilvl w:val="0"/>
          <w:numId w:val="34"/>
        </w:numPr>
        <w:autoSpaceDE w:val="0"/>
        <w:autoSpaceDN w:val="0"/>
        <w:adjustRightInd w:val="0"/>
        <w:jc w:val="both"/>
        <w:rPr>
          <w:rFonts w:ascii="Times New Roman" w:eastAsiaTheme="minorHAnsi" w:hAnsi="Times New Roman"/>
          <w:sz w:val="24"/>
          <w:szCs w:val="24"/>
          <w:lang w:val="en-US"/>
        </w:rPr>
      </w:pPr>
      <w:proofErr w:type="spellStart"/>
      <w:r>
        <w:rPr>
          <w:rFonts w:ascii="Times New Roman" w:eastAsiaTheme="minorHAnsi" w:hAnsi="Times New Roman"/>
          <w:sz w:val="24"/>
          <w:szCs w:val="24"/>
          <w:lang w:val="en-US"/>
        </w:rPr>
        <w:t>Përqindja</w:t>
      </w:r>
      <w:proofErr w:type="spellEnd"/>
      <w:r w:rsidR="00986A71" w:rsidRPr="0050721B">
        <w:rPr>
          <w:rFonts w:ascii="Times New Roman" w:eastAsiaTheme="minorHAnsi" w:hAnsi="Times New Roman"/>
          <w:sz w:val="24"/>
          <w:szCs w:val="24"/>
          <w:lang w:val="en-US"/>
        </w:rPr>
        <w:t xml:space="preserve"> e </w:t>
      </w:r>
      <w:proofErr w:type="spellStart"/>
      <w:r w:rsidR="00986A71" w:rsidRPr="0050721B">
        <w:rPr>
          <w:rFonts w:ascii="Times New Roman" w:eastAsiaTheme="minorHAnsi" w:hAnsi="Times New Roman"/>
          <w:sz w:val="24"/>
          <w:szCs w:val="24"/>
          <w:lang w:val="en-US"/>
        </w:rPr>
        <w:t>numrit</w:t>
      </w:r>
      <w:proofErr w:type="spellEnd"/>
      <w:r w:rsidR="00986A71" w:rsidRPr="0050721B">
        <w:rPr>
          <w:rFonts w:ascii="Times New Roman" w:eastAsiaTheme="minorHAnsi" w:hAnsi="Times New Roman"/>
          <w:sz w:val="24"/>
          <w:szCs w:val="24"/>
          <w:lang w:val="en-US"/>
        </w:rPr>
        <w:t xml:space="preserve"> të Autoriteteve Publike me program transparence të publikuar, sipas formatit të miratuar nga Komisioneri dhe të përditësuar</w:t>
      </w:r>
      <w:r w:rsidR="00DC14D8" w:rsidRPr="0050721B">
        <w:rPr>
          <w:rFonts w:ascii="Times New Roman" w:eastAsiaTheme="minorHAnsi" w:hAnsi="Times New Roman"/>
          <w:sz w:val="24"/>
          <w:szCs w:val="24"/>
          <w:lang w:val="en-US"/>
        </w:rPr>
        <w:t xml:space="preserve"> me informacion </w:t>
      </w:r>
      <w:r w:rsidR="00986A71" w:rsidRPr="0050721B">
        <w:rPr>
          <w:rFonts w:ascii="Times New Roman" w:eastAsiaTheme="minorHAnsi" w:hAnsi="Times New Roman"/>
          <w:sz w:val="24"/>
          <w:szCs w:val="24"/>
          <w:lang w:val="en-US"/>
        </w:rPr>
        <w:t>kundrejt totalit të institucioneve</w:t>
      </w:r>
      <w:r w:rsidR="00DC14D8" w:rsidRPr="0050721B">
        <w:rPr>
          <w:rFonts w:ascii="Times New Roman" w:eastAsiaTheme="minorHAnsi" w:hAnsi="Times New Roman"/>
          <w:sz w:val="24"/>
          <w:szCs w:val="24"/>
          <w:lang w:val="en-US"/>
        </w:rPr>
        <w:t xml:space="preserve">. </w:t>
      </w:r>
      <w:r w:rsidR="00D81E26" w:rsidRPr="0050721B">
        <w:rPr>
          <w:rFonts w:ascii="Times New Roman" w:eastAsiaTheme="minorHAnsi" w:hAnsi="Times New Roman"/>
          <w:sz w:val="24"/>
          <w:szCs w:val="24"/>
          <w:lang w:val="en-US"/>
        </w:rPr>
        <w:t xml:space="preserve"> </w:t>
      </w:r>
    </w:p>
    <w:p w:rsidR="00280E39" w:rsidRPr="0050721B" w:rsidRDefault="00280E39" w:rsidP="0050721B">
      <w:pPr>
        <w:autoSpaceDE w:val="0"/>
        <w:autoSpaceDN w:val="0"/>
        <w:spacing w:line="276" w:lineRule="auto"/>
        <w:jc w:val="both"/>
        <w:rPr>
          <w:color w:val="0D0D0D" w:themeColor="text1" w:themeTint="F2"/>
        </w:rPr>
      </w:pPr>
      <w:r w:rsidRPr="0050721B">
        <w:rPr>
          <w:color w:val="0D0D0D" w:themeColor="text1" w:themeTint="F2"/>
        </w:rPr>
        <w:t xml:space="preserve">Lidhur me këtë  tregues, konstatohet se është realizuar gati 96 % e tyre, ndërsa vijon monitorimi i thelluar për nivelin e publikimeve në  programin e  transparencës, ku rezulton se rreth 60 autoritete,  nuk e kanë të plotë kete program.  Në këto autoritete do, sipas Planit të monitorimit dhe mbikqyrjes për vitin 2025, është parasihikuar që gjatë vitit 2025 ushtrohen   hetime administrative  (60 gjithsej). Deri në momentin e këtij raportimi janë zhvilluar 17 hetime administrative. Gjithashtu janë   në proces  verifikimi  zbatimi i  12 rekomandimeve të dhëna. </w:t>
      </w:r>
    </w:p>
    <w:p w:rsidR="004F5BF7" w:rsidRPr="0050721B" w:rsidRDefault="004F5BF7" w:rsidP="0050721B">
      <w:pPr>
        <w:autoSpaceDE w:val="0"/>
        <w:autoSpaceDN w:val="0"/>
        <w:adjustRightInd w:val="0"/>
        <w:spacing w:line="276" w:lineRule="auto"/>
        <w:jc w:val="both"/>
        <w:rPr>
          <w:rFonts w:eastAsiaTheme="minorHAnsi"/>
          <w:lang w:val="en-US"/>
        </w:rPr>
      </w:pPr>
    </w:p>
    <w:p w:rsidR="007671CE" w:rsidRPr="0050721B" w:rsidRDefault="00986A71" w:rsidP="0050721B">
      <w:pPr>
        <w:pStyle w:val="ListParagraph"/>
        <w:numPr>
          <w:ilvl w:val="0"/>
          <w:numId w:val="34"/>
        </w:numPr>
        <w:autoSpaceDE w:val="0"/>
        <w:autoSpaceDN w:val="0"/>
        <w:adjustRightInd w:val="0"/>
        <w:rPr>
          <w:rFonts w:ascii="Times New Roman" w:eastAsiaTheme="minorHAnsi" w:hAnsi="Times New Roman"/>
          <w:sz w:val="24"/>
          <w:szCs w:val="24"/>
          <w:lang w:val="en-US"/>
        </w:rPr>
      </w:pPr>
      <w:proofErr w:type="spellStart"/>
      <w:r w:rsidRPr="0050721B">
        <w:rPr>
          <w:rFonts w:ascii="Times New Roman" w:eastAsiaTheme="minorHAnsi" w:hAnsi="Times New Roman"/>
          <w:sz w:val="24"/>
          <w:szCs w:val="24"/>
          <w:lang w:val="en-US"/>
        </w:rPr>
        <w:t>Niveli</w:t>
      </w:r>
      <w:proofErr w:type="spellEnd"/>
      <w:r w:rsidRPr="0050721B">
        <w:rPr>
          <w:rFonts w:ascii="Times New Roman" w:eastAsiaTheme="minorHAnsi" w:hAnsi="Times New Roman"/>
          <w:sz w:val="24"/>
          <w:szCs w:val="24"/>
          <w:lang w:val="en-US"/>
        </w:rPr>
        <w:t xml:space="preserve"> </w:t>
      </w:r>
      <w:proofErr w:type="spellStart"/>
      <w:r w:rsidRPr="0050721B">
        <w:rPr>
          <w:rFonts w:ascii="Times New Roman" w:eastAsiaTheme="minorHAnsi" w:hAnsi="Times New Roman"/>
          <w:sz w:val="24"/>
          <w:szCs w:val="24"/>
          <w:lang w:val="en-US"/>
        </w:rPr>
        <w:t>i</w:t>
      </w:r>
      <w:proofErr w:type="spellEnd"/>
      <w:r w:rsidRPr="0050721B">
        <w:rPr>
          <w:rFonts w:ascii="Times New Roman" w:eastAsiaTheme="minorHAnsi" w:hAnsi="Times New Roman"/>
          <w:sz w:val="24"/>
          <w:szCs w:val="24"/>
          <w:lang w:val="en-US"/>
        </w:rPr>
        <w:t xml:space="preserve"> </w:t>
      </w:r>
      <w:proofErr w:type="spellStart"/>
      <w:r w:rsidRPr="0050721B">
        <w:rPr>
          <w:rFonts w:ascii="Times New Roman" w:eastAsiaTheme="minorHAnsi" w:hAnsi="Times New Roman"/>
          <w:sz w:val="24"/>
          <w:szCs w:val="24"/>
          <w:lang w:val="en-US"/>
        </w:rPr>
        <w:t>zbat</w:t>
      </w:r>
      <w:r w:rsidR="00E76D5D">
        <w:rPr>
          <w:rFonts w:ascii="Times New Roman" w:eastAsiaTheme="minorHAnsi" w:hAnsi="Times New Roman"/>
          <w:sz w:val="24"/>
          <w:szCs w:val="24"/>
          <w:lang w:val="en-US"/>
        </w:rPr>
        <w:t>imit</w:t>
      </w:r>
      <w:proofErr w:type="spellEnd"/>
      <w:r w:rsidR="00E76D5D">
        <w:rPr>
          <w:rFonts w:ascii="Times New Roman" w:eastAsiaTheme="minorHAnsi" w:hAnsi="Times New Roman"/>
          <w:sz w:val="24"/>
          <w:szCs w:val="24"/>
          <w:lang w:val="en-US"/>
        </w:rPr>
        <w:t xml:space="preserve"> të </w:t>
      </w:r>
      <w:proofErr w:type="spellStart"/>
      <w:r w:rsidR="00E76D5D">
        <w:rPr>
          <w:rFonts w:ascii="Times New Roman" w:eastAsiaTheme="minorHAnsi" w:hAnsi="Times New Roman"/>
          <w:sz w:val="24"/>
          <w:szCs w:val="24"/>
          <w:lang w:val="en-US"/>
        </w:rPr>
        <w:t>akteve</w:t>
      </w:r>
      <w:proofErr w:type="spellEnd"/>
      <w:r w:rsidR="00E76D5D">
        <w:rPr>
          <w:rFonts w:ascii="Times New Roman" w:eastAsiaTheme="minorHAnsi" w:hAnsi="Times New Roman"/>
          <w:sz w:val="24"/>
          <w:szCs w:val="24"/>
          <w:lang w:val="en-US"/>
        </w:rPr>
        <w:t xml:space="preserve"> të </w:t>
      </w:r>
      <w:proofErr w:type="spellStart"/>
      <w:r w:rsidR="00E76D5D">
        <w:rPr>
          <w:rFonts w:ascii="Times New Roman" w:eastAsiaTheme="minorHAnsi" w:hAnsi="Times New Roman"/>
          <w:sz w:val="24"/>
          <w:szCs w:val="24"/>
          <w:lang w:val="en-US"/>
        </w:rPr>
        <w:t>Komisionerit</w:t>
      </w:r>
      <w:proofErr w:type="spellEnd"/>
      <w:r w:rsidR="00E76D5D">
        <w:rPr>
          <w:rFonts w:ascii="Times New Roman" w:eastAsiaTheme="minorHAnsi" w:hAnsi="Times New Roman"/>
          <w:sz w:val="24"/>
          <w:szCs w:val="24"/>
          <w:lang w:val="en-US"/>
        </w:rPr>
        <w:t xml:space="preserve"> </w:t>
      </w:r>
      <w:proofErr w:type="spellStart"/>
      <w:r w:rsidRPr="0050721B">
        <w:rPr>
          <w:rFonts w:ascii="Times New Roman" w:eastAsiaTheme="minorHAnsi" w:hAnsi="Times New Roman"/>
          <w:sz w:val="24"/>
          <w:szCs w:val="24"/>
          <w:lang w:val="en-US"/>
        </w:rPr>
        <w:t>lidhur</w:t>
      </w:r>
      <w:proofErr w:type="spellEnd"/>
      <w:r w:rsidRPr="0050721B">
        <w:rPr>
          <w:rFonts w:ascii="Times New Roman" w:eastAsiaTheme="minorHAnsi" w:hAnsi="Times New Roman"/>
          <w:sz w:val="24"/>
          <w:szCs w:val="24"/>
          <w:lang w:val="en-US"/>
        </w:rPr>
        <w:t xml:space="preserve"> me të </w:t>
      </w:r>
      <w:proofErr w:type="spellStart"/>
      <w:r w:rsidRPr="0050721B">
        <w:rPr>
          <w:rFonts w:ascii="Times New Roman" w:eastAsiaTheme="minorHAnsi" w:hAnsi="Times New Roman"/>
          <w:sz w:val="24"/>
          <w:szCs w:val="24"/>
          <w:lang w:val="en-US"/>
        </w:rPr>
        <w:t>drejtën</w:t>
      </w:r>
      <w:proofErr w:type="spellEnd"/>
      <w:r w:rsidR="00DC14D8" w:rsidRPr="0050721B">
        <w:rPr>
          <w:rFonts w:ascii="Times New Roman" w:eastAsiaTheme="minorHAnsi" w:hAnsi="Times New Roman"/>
          <w:sz w:val="24"/>
          <w:szCs w:val="24"/>
          <w:lang w:val="en-US"/>
        </w:rPr>
        <w:t xml:space="preserve"> e </w:t>
      </w:r>
      <w:proofErr w:type="spellStart"/>
      <w:r w:rsidR="00DC14D8" w:rsidRPr="0050721B">
        <w:rPr>
          <w:rFonts w:ascii="Times New Roman" w:eastAsiaTheme="minorHAnsi" w:hAnsi="Times New Roman"/>
          <w:sz w:val="24"/>
          <w:szCs w:val="24"/>
          <w:lang w:val="en-US"/>
        </w:rPr>
        <w:t>innformimit</w:t>
      </w:r>
      <w:proofErr w:type="spellEnd"/>
      <w:r w:rsidR="00DC14D8" w:rsidRPr="0050721B">
        <w:rPr>
          <w:rFonts w:ascii="Times New Roman" w:eastAsiaTheme="minorHAnsi" w:hAnsi="Times New Roman"/>
          <w:sz w:val="24"/>
          <w:szCs w:val="24"/>
          <w:lang w:val="en-US"/>
        </w:rPr>
        <w:t xml:space="preserve"> </w:t>
      </w:r>
      <w:proofErr w:type="spellStart"/>
      <w:r w:rsidR="00DC14D8" w:rsidRPr="0050721B">
        <w:rPr>
          <w:rFonts w:ascii="Times New Roman" w:eastAsiaTheme="minorHAnsi" w:hAnsi="Times New Roman"/>
          <w:sz w:val="24"/>
          <w:szCs w:val="24"/>
          <w:lang w:val="en-US"/>
        </w:rPr>
        <w:t>kundrejt</w:t>
      </w:r>
      <w:proofErr w:type="spellEnd"/>
      <w:r w:rsidR="00DC14D8" w:rsidRPr="0050721B">
        <w:rPr>
          <w:rFonts w:ascii="Times New Roman" w:eastAsiaTheme="minorHAnsi" w:hAnsi="Times New Roman"/>
          <w:sz w:val="24"/>
          <w:szCs w:val="24"/>
          <w:lang w:val="en-US"/>
        </w:rPr>
        <w:t xml:space="preserve"> totalit. </w:t>
      </w:r>
    </w:p>
    <w:p w:rsidR="00986A71" w:rsidRPr="0050721B" w:rsidRDefault="007671CE" w:rsidP="0050721B">
      <w:pPr>
        <w:autoSpaceDE w:val="0"/>
        <w:autoSpaceDN w:val="0"/>
        <w:adjustRightInd w:val="0"/>
        <w:spacing w:line="276" w:lineRule="auto"/>
        <w:rPr>
          <w:rFonts w:eastAsiaTheme="minorHAnsi"/>
          <w:lang w:val="en-US"/>
        </w:rPr>
      </w:pPr>
      <w:r w:rsidRPr="0050721B">
        <w:rPr>
          <w:rFonts w:eastAsiaTheme="minorHAnsi"/>
          <w:lang w:val="en-US"/>
        </w:rPr>
        <w:t xml:space="preserve">Ky tregues </w:t>
      </w:r>
      <w:proofErr w:type="spellStart"/>
      <w:r w:rsidR="00A634A1" w:rsidRPr="0050721B">
        <w:rPr>
          <w:rFonts w:eastAsiaTheme="minorHAnsi"/>
          <w:lang w:val="en-US"/>
        </w:rPr>
        <w:t>është</w:t>
      </w:r>
      <w:proofErr w:type="spellEnd"/>
      <w:r w:rsidR="00A634A1" w:rsidRPr="0050721B">
        <w:rPr>
          <w:rFonts w:eastAsiaTheme="minorHAnsi"/>
          <w:lang w:val="en-US"/>
        </w:rPr>
        <w:t xml:space="preserve"> </w:t>
      </w:r>
      <w:proofErr w:type="spellStart"/>
      <w:r w:rsidR="00A634A1" w:rsidRPr="0050721B">
        <w:rPr>
          <w:rFonts w:eastAsiaTheme="minorHAnsi"/>
          <w:lang w:val="en-US"/>
        </w:rPr>
        <w:t>plotësuar</w:t>
      </w:r>
      <w:proofErr w:type="spellEnd"/>
      <w:r w:rsidR="00A634A1" w:rsidRPr="0050721B">
        <w:rPr>
          <w:rFonts w:eastAsiaTheme="minorHAnsi"/>
          <w:lang w:val="en-US"/>
        </w:rPr>
        <w:t xml:space="preserve"> </w:t>
      </w:r>
      <w:proofErr w:type="spellStart"/>
      <w:r w:rsidR="00A634A1" w:rsidRPr="0050721B">
        <w:rPr>
          <w:rFonts w:eastAsiaTheme="minorHAnsi"/>
          <w:lang w:val="en-US"/>
        </w:rPr>
        <w:t>në</w:t>
      </w:r>
      <w:proofErr w:type="spellEnd"/>
      <w:r w:rsidR="00E76D5D">
        <w:rPr>
          <w:rFonts w:eastAsiaTheme="minorHAnsi"/>
          <w:lang w:val="en-US"/>
        </w:rPr>
        <w:t xml:space="preserve"> </w:t>
      </w:r>
      <w:proofErr w:type="spellStart"/>
      <w:r w:rsidR="00E76D5D">
        <w:rPr>
          <w:rFonts w:eastAsiaTheme="minorHAnsi"/>
          <w:lang w:val="en-US"/>
        </w:rPr>
        <w:t>gati</w:t>
      </w:r>
      <w:proofErr w:type="spellEnd"/>
      <w:r w:rsidR="00E76D5D">
        <w:rPr>
          <w:rFonts w:eastAsiaTheme="minorHAnsi"/>
          <w:lang w:val="en-US"/>
        </w:rPr>
        <w:t xml:space="preserve"> 85 %, </w:t>
      </w:r>
      <w:proofErr w:type="spellStart"/>
      <w:r w:rsidR="00E76D5D">
        <w:rPr>
          <w:rFonts w:eastAsiaTheme="minorHAnsi"/>
          <w:lang w:val="en-US"/>
        </w:rPr>
        <w:t>por</w:t>
      </w:r>
      <w:proofErr w:type="spellEnd"/>
      <w:r w:rsidR="00E76D5D">
        <w:rPr>
          <w:rFonts w:eastAsiaTheme="minorHAnsi"/>
          <w:lang w:val="en-US"/>
        </w:rPr>
        <w:t xml:space="preserve"> </w:t>
      </w:r>
      <w:proofErr w:type="spellStart"/>
      <w:r w:rsidR="00E76D5D">
        <w:rPr>
          <w:rFonts w:eastAsiaTheme="minorHAnsi"/>
          <w:lang w:val="en-US"/>
        </w:rPr>
        <w:t>monitorimi</w:t>
      </w:r>
      <w:proofErr w:type="spellEnd"/>
      <w:r w:rsidR="00E76D5D">
        <w:rPr>
          <w:rFonts w:eastAsiaTheme="minorHAnsi"/>
          <w:lang w:val="en-US"/>
        </w:rPr>
        <w:t xml:space="preserve"> për </w:t>
      </w:r>
      <w:r w:rsidR="00A634A1" w:rsidRPr="0050721B">
        <w:rPr>
          <w:rFonts w:eastAsiaTheme="minorHAnsi"/>
          <w:lang w:val="en-US"/>
        </w:rPr>
        <w:t>element t</w:t>
      </w:r>
      <w:r w:rsidR="007A5851" w:rsidRPr="0050721B">
        <w:rPr>
          <w:rFonts w:eastAsiaTheme="minorHAnsi"/>
          <w:lang w:val="en-US"/>
        </w:rPr>
        <w:t>ë</w:t>
      </w:r>
      <w:r w:rsidR="00A634A1" w:rsidRPr="0050721B">
        <w:rPr>
          <w:rFonts w:eastAsiaTheme="minorHAnsi"/>
          <w:lang w:val="en-US"/>
        </w:rPr>
        <w:t xml:space="preserve"> </w:t>
      </w:r>
      <w:proofErr w:type="spellStart"/>
      <w:r w:rsidR="00A634A1" w:rsidRPr="0050721B">
        <w:rPr>
          <w:rFonts w:eastAsiaTheme="minorHAnsi"/>
          <w:lang w:val="en-US"/>
        </w:rPr>
        <w:t>tjer</w:t>
      </w:r>
      <w:r w:rsidR="007A5851" w:rsidRPr="0050721B">
        <w:rPr>
          <w:rFonts w:eastAsiaTheme="minorHAnsi"/>
          <w:lang w:val="en-US"/>
        </w:rPr>
        <w:t>ë</w:t>
      </w:r>
      <w:proofErr w:type="spellEnd"/>
      <w:r w:rsidR="007A5851" w:rsidRPr="0050721B">
        <w:rPr>
          <w:rFonts w:eastAsiaTheme="minorHAnsi"/>
          <w:lang w:val="en-US"/>
        </w:rPr>
        <w:t xml:space="preserve"> (</w:t>
      </w:r>
      <w:proofErr w:type="spellStart"/>
      <w:r w:rsidR="00A634A1" w:rsidRPr="0050721B">
        <w:rPr>
          <w:rFonts w:eastAsiaTheme="minorHAnsi"/>
          <w:lang w:val="en-US"/>
        </w:rPr>
        <w:t>disa</w:t>
      </w:r>
      <w:proofErr w:type="spellEnd"/>
      <w:r w:rsidR="00A634A1" w:rsidRPr="0050721B">
        <w:rPr>
          <w:rFonts w:eastAsiaTheme="minorHAnsi"/>
          <w:lang w:val="en-US"/>
        </w:rPr>
        <w:t xml:space="preserve"> </w:t>
      </w:r>
      <w:proofErr w:type="spellStart"/>
      <w:r w:rsidR="00A634A1" w:rsidRPr="0050721B">
        <w:rPr>
          <w:rFonts w:eastAsiaTheme="minorHAnsi"/>
          <w:lang w:val="en-US"/>
        </w:rPr>
        <w:t>lloj</w:t>
      </w:r>
      <w:proofErr w:type="spellEnd"/>
      <w:r w:rsidR="00A634A1" w:rsidRPr="0050721B">
        <w:rPr>
          <w:rFonts w:eastAsiaTheme="minorHAnsi"/>
          <w:lang w:val="en-US"/>
        </w:rPr>
        <w:t xml:space="preserve"> </w:t>
      </w:r>
      <w:proofErr w:type="spellStart"/>
      <w:r w:rsidR="00A634A1" w:rsidRPr="0050721B">
        <w:rPr>
          <w:rFonts w:eastAsiaTheme="minorHAnsi"/>
          <w:lang w:val="en-US"/>
        </w:rPr>
        <w:t>aktesh</w:t>
      </w:r>
      <w:proofErr w:type="spellEnd"/>
      <w:r w:rsidR="00A634A1" w:rsidRPr="0050721B">
        <w:rPr>
          <w:rFonts w:eastAsiaTheme="minorHAnsi"/>
          <w:lang w:val="en-US"/>
        </w:rPr>
        <w:t>) është në proces monito</w:t>
      </w:r>
      <w:r w:rsidR="007A5851" w:rsidRPr="0050721B">
        <w:rPr>
          <w:rFonts w:eastAsiaTheme="minorHAnsi"/>
          <w:lang w:val="en-US"/>
        </w:rPr>
        <w:t>r</w:t>
      </w:r>
      <w:r w:rsidR="00A634A1" w:rsidRPr="0050721B">
        <w:rPr>
          <w:rFonts w:eastAsiaTheme="minorHAnsi"/>
          <w:lang w:val="en-US"/>
        </w:rPr>
        <w:t>imi dhe rezultati i detajuar</w:t>
      </w:r>
      <w:r w:rsidR="007A5851" w:rsidRPr="0050721B">
        <w:rPr>
          <w:rFonts w:eastAsiaTheme="minorHAnsi"/>
          <w:lang w:val="en-US"/>
        </w:rPr>
        <w:t xml:space="preserve"> do të jepet në periudhat në vijim </w:t>
      </w:r>
    </w:p>
    <w:p w:rsidR="00A634A1" w:rsidRPr="0050721B" w:rsidRDefault="00280E39" w:rsidP="0050721B">
      <w:pPr>
        <w:autoSpaceDE w:val="0"/>
        <w:autoSpaceDN w:val="0"/>
        <w:adjustRightInd w:val="0"/>
        <w:spacing w:line="276" w:lineRule="auto"/>
        <w:rPr>
          <w:rFonts w:eastAsiaTheme="minorHAnsi"/>
          <w:lang w:val="en-US"/>
        </w:rPr>
      </w:pPr>
      <w:r w:rsidRPr="0050721B">
        <w:rPr>
          <w:rFonts w:eastAsiaTheme="minorHAnsi"/>
          <w:lang w:val="en-US"/>
        </w:rPr>
        <w:t xml:space="preserve"> </w:t>
      </w:r>
    </w:p>
    <w:p w:rsidR="00986A71" w:rsidRPr="0050721B" w:rsidRDefault="00986A71" w:rsidP="0050721B">
      <w:pPr>
        <w:pStyle w:val="ListParagraph"/>
        <w:numPr>
          <w:ilvl w:val="0"/>
          <w:numId w:val="34"/>
        </w:numPr>
        <w:autoSpaceDE w:val="0"/>
        <w:autoSpaceDN w:val="0"/>
        <w:adjustRightInd w:val="0"/>
        <w:rPr>
          <w:rFonts w:ascii="Times New Roman" w:eastAsiaTheme="minorHAnsi" w:hAnsi="Times New Roman"/>
          <w:sz w:val="24"/>
          <w:szCs w:val="24"/>
          <w:lang w:val="en-US"/>
        </w:rPr>
      </w:pPr>
      <w:r w:rsidRPr="0050721B">
        <w:rPr>
          <w:rFonts w:ascii="Times New Roman" w:eastAsiaTheme="minorHAnsi" w:hAnsi="Times New Roman"/>
          <w:sz w:val="24"/>
          <w:szCs w:val="24"/>
          <w:lang w:val="en-US"/>
        </w:rPr>
        <w:t>Përqindja e grave në poste drejtuese në raport me totalin e posteve drejtuese në shërbimin civil në KDIMDP.</w:t>
      </w:r>
      <w:r w:rsidR="00DC14D8" w:rsidRPr="0050721B">
        <w:rPr>
          <w:rFonts w:ascii="Times New Roman" w:eastAsiaTheme="minorHAnsi" w:hAnsi="Times New Roman"/>
          <w:sz w:val="24"/>
          <w:szCs w:val="24"/>
          <w:lang w:val="en-US"/>
        </w:rPr>
        <w:t xml:space="preserve"> </w:t>
      </w:r>
      <w:r w:rsidR="007A5851" w:rsidRPr="0050721B">
        <w:rPr>
          <w:rFonts w:ascii="Times New Roman" w:eastAsiaTheme="minorHAnsi" w:hAnsi="Times New Roman"/>
          <w:sz w:val="24"/>
          <w:szCs w:val="24"/>
          <w:lang w:val="en-US"/>
        </w:rPr>
        <w:t xml:space="preserve"> </w:t>
      </w:r>
    </w:p>
    <w:p w:rsidR="008233D2" w:rsidRPr="0050721B" w:rsidRDefault="00E76D5D" w:rsidP="0050721B">
      <w:pPr>
        <w:autoSpaceDE w:val="0"/>
        <w:autoSpaceDN w:val="0"/>
        <w:adjustRightInd w:val="0"/>
        <w:spacing w:line="276" w:lineRule="auto"/>
        <w:rPr>
          <w:rFonts w:eastAsiaTheme="minorHAnsi"/>
          <w:lang w:val="en-US"/>
        </w:rPr>
      </w:pPr>
      <w:proofErr w:type="spellStart"/>
      <w:r>
        <w:rPr>
          <w:rFonts w:eastAsiaTheme="minorHAnsi"/>
          <w:lang w:val="en-US"/>
        </w:rPr>
        <w:t>Lidhur</w:t>
      </w:r>
      <w:proofErr w:type="spellEnd"/>
      <w:r>
        <w:rPr>
          <w:rFonts w:eastAsiaTheme="minorHAnsi"/>
          <w:lang w:val="en-US"/>
        </w:rPr>
        <w:t xml:space="preserve"> me </w:t>
      </w:r>
      <w:proofErr w:type="spellStart"/>
      <w:r>
        <w:rPr>
          <w:rFonts w:eastAsiaTheme="minorHAnsi"/>
          <w:lang w:val="en-US"/>
        </w:rPr>
        <w:t>këtë</w:t>
      </w:r>
      <w:proofErr w:type="spellEnd"/>
      <w:r>
        <w:rPr>
          <w:rFonts w:eastAsiaTheme="minorHAnsi"/>
          <w:lang w:val="en-US"/>
        </w:rPr>
        <w:t xml:space="preserve"> </w:t>
      </w:r>
      <w:proofErr w:type="spellStart"/>
      <w:r w:rsidR="007A5851" w:rsidRPr="0050721B">
        <w:rPr>
          <w:rFonts w:eastAsiaTheme="minorHAnsi"/>
          <w:lang w:val="en-US"/>
        </w:rPr>
        <w:t>tregues</w:t>
      </w:r>
      <w:proofErr w:type="spellEnd"/>
      <w:r w:rsidR="007A5851" w:rsidRPr="0050721B">
        <w:rPr>
          <w:rFonts w:eastAsiaTheme="minorHAnsi"/>
          <w:lang w:val="en-US"/>
        </w:rPr>
        <w:t xml:space="preserve">, të </w:t>
      </w:r>
      <w:proofErr w:type="spellStart"/>
      <w:r w:rsidR="007A5851" w:rsidRPr="0050721B">
        <w:rPr>
          <w:rFonts w:eastAsiaTheme="minorHAnsi"/>
          <w:lang w:val="en-US"/>
        </w:rPr>
        <w:t>dhenat</w:t>
      </w:r>
      <w:proofErr w:type="spellEnd"/>
      <w:r w:rsidR="007A5851" w:rsidRPr="0050721B">
        <w:rPr>
          <w:rFonts w:eastAsiaTheme="minorHAnsi"/>
          <w:lang w:val="en-US"/>
        </w:rPr>
        <w:t xml:space="preserve"> e </w:t>
      </w:r>
      <w:proofErr w:type="spellStart"/>
      <w:r w:rsidR="007A5851" w:rsidRPr="0050721B">
        <w:rPr>
          <w:rFonts w:eastAsiaTheme="minorHAnsi"/>
          <w:lang w:val="en-US"/>
        </w:rPr>
        <w:t>deritanishme</w:t>
      </w:r>
      <w:proofErr w:type="spellEnd"/>
      <w:r w:rsidR="007A5851" w:rsidRPr="0050721B">
        <w:rPr>
          <w:rFonts w:eastAsiaTheme="minorHAnsi"/>
          <w:lang w:val="en-US"/>
        </w:rPr>
        <w:t xml:space="preserve"> </w:t>
      </w:r>
      <w:proofErr w:type="spellStart"/>
      <w:r w:rsidR="007A5851" w:rsidRPr="0050721B">
        <w:rPr>
          <w:rFonts w:eastAsiaTheme="minorHAnsi"/>
          <w:lang w:val="en-US"/>
        </w:rPr>
        <w:t>flasin</w:t>
      </w:r>
      <w:proofErr w:type="spellEnd"/>
      <w:r w:rsidR="007A5851" w:rsidRPr="0050721B">
        <w:rPr>
          <w:rFonts w:eastAsiaTheme="minorHAnsi"/>
          <w:lang w:val="en-US"/>
        </w:rPr>
        <w:t xml:space="preserve"> për </w:t>
      </w:r>
      <w:proofErr w:type="spellStart"/>
      <w:r w:rsidR="007A5851" w:rsidRPr="0050721B">
        <w:rPr>
          <w:rFonts w:eastAsiaTheme="minorHAnsi"/>
          <w:lang w:val="en-US"/>
        </w:rPr>
        <w:t>një</w:t>
      </w:r>
      <w:proofErr w:type="spellEnd"/>
      <w:r w:rsidR="007A5851" w:rsidRPr="0050721B">
        <w:rPr>
          <w:rFonts w:eastAsiaTheme="minorHAnsi"/>
          <w:lang w:val="en-US"/>
        </w:rPr>
        <w:t xml:space="preserve"> tren</w:t>
      </w:r>
      <w:r w:rsidR="004F5BF7" w:rsidRPr="0050721B">
        <w:rPr>
          <w:rFonts w:eastAsiaTheme="minorHAnsi"/>
          <w:lang w:val="en-US"/>
        </w:rPr>
        <w:t>d</w:t>
      </w:r>
      <w:r w:rsidR="007A5851" w:rsidRPr="0050721B">
        <w:rPr>
          <w:rFonts w:eastAsiaTheme="minorHAnsi"/>
          <w:lang w:val="en-US"/>
        </w:rPr>
        <w:t xml:space="preserve"> </w:t>
      </w:r>
      <w:proofErr w:type="spellStart"/>
      <w:r w:rsidR="007A5851" w:rsidRPr="0050721B">
        <w:rPr>
          <w:rFonts w:eastAsiaTheme="minorHAnsi"/>
          <w:lang w:val="en-US"/>
        </w:rPr>
        <w:t>tepër</w:t>
      </w:r>
      <w:proofErr w:type="spellEnd"/>
      <w:r w:rsidR="007A5851" w:rsidRPr="0050721B">
        <w:rPr>
          <w:rFonts w:eastAsiaTheme="minorHAnsi"/>
          <w:lang w:val="en-US"/>
        </w:rPr>
        <w:t xml:space="preserve"> </w:t>
      </w:r>
      <w:proofErr w:type="spellStart"/>
      <w:r w:rsidR="007A5851" w:rsidRPr="0050721B">
        <w:rPr>
          <w:rFonts w:eastAsiaTheme="minorHAnsi"/>
          <w:lang w:val="en-US"/>
        </w:rPr>
        <w:t>pozitiv</w:t>
      </w:r>
      <w:proofErr w:type="spellEnd"/>
      <w:r>
        <w:rPr>
          <w:rFonts w:eastAsiaTheme="minorHAnsi"/>
          <w:lang w:val="en-US"/>
        </w:rPr>
        <w:t>,</w:t>
      </w:r>
      <w:r w:rsidR="007A5851" w:rsidRPr="0050721B">
        <w:rPr>
          <w:rFonts w:eastAsiaTheme="minorHAnsi"/>
          <w:lang w:val="en-US"/>
        </w:rPr>
        <w:t xml:space="preserve"> </w:t>
      </w:r>
      <w:proofErr w:type="spellStart"/>
      <w:r w:rsidR="007A5851" w:rsidRPr="0050721B">
        <w:rPr>
          <w:rFonts w:eastAsiaTheme="minorHAnsi"/>
          <w:lang w:val="en-US"/>
        </w:rPr>
        <w:t>ku</w:t>
      </w:r>
      <w:proofErr w:type="spellEnd"/>
      <w:r w:rsidR="007A5851" w:rsidRPr="0050721B">
        <w:rPr>
          <w:rFonts w:eastAsiaTheme="minorHAnsi"/>
          <w:lang w:val="en-US"/>
        </w:rPr>
        <w:t xml:space="preserve"> </w:t>
      </w:r>
      <w:proofErr w:type="spellStart"/>
      <w:r w:rsidR="007A5851" w:rsidRPr="0050721B">
        <w:rPr>
          <w:rFonts w:eastAsiaTheme="minorHAnsi"/>
          <w:lang w:val="en-US"/>
        </w:rPr>
        <w:t>nga</w:t>
      </w:r>
      <w:proofErr w:type="spellEnd"/>
      <w:r w:rsidR="007A5851" w:rsidRPr="0050721B">
        <w:rPr>
          <w:rFonts w:eastAsiaTheme="minorHAnsi"/>
          <w:lang w:val="en-US"/>
        </w:rPr>
        <w:t xml:space="preserve"> 8 </w:t>
      </w:r>
      <w:proofErr w:type="spellStart"/>
      <w:r w:rsidR="007A5851" w:rsidRPr="0050721B">
        <w:rPr>
          <w:rFonts w:eastAsiaTheme="minorHAnsi"/>
          <w:lang w:val="en-US"/>
        </w:rPr>
        <w:t>pozicione</w:t>
      </w:r>
      <w:proofErr w:type="spellEnd"/>
      <w:r w:rsidR="007A5851" w:rsidRPr="0050721B">
        <w:rPr>
          <w:rFonts w:eastAsiaTheme="minorHAnsi"/>
          <w:lang w:val="en-US"/>
        </w:rPr>
        <w:t xml:space="preserve"> </w:t>
      </w:r>
      <w:r>
        <w:rPr>
          <w:rFonts w:eastAsiaTheme="minorHAnsi"/>
          <w:lang w:val="en-US"/>
        </w:rPr>
        <w:t xml:space="preserve">të </w:t>
      </w:r>
      <w:proofErr w:type="spellStart"/>
      <w:r>
        <w:rPr>
          <w:rFonts w:eastAsiaTheme="minorHAnsi"/>
          <w:lang w:val="en-US"/>
        </w:rPr>
        <w:t>nivelit</w:t>
      </w:r>
      <w:proofErr w:type="spellEnd"/>
      <w:r>
        <w:rPr>
          <w:rFonts w:eastAsiaTheme="minorHAnsi"/>
          <w:lang w:val="en-US"/>
        </w:rPr>
        <w:t xml:space="preserve"> të </w:t>
      </w:r>
      <w:proofErr w:type="spellStart"/>
      <w:r>
        <w:rPr>
          <w:rFonts w:eastAsiaTheme="minorHAnsi"/>
          <w:lang w:val="en-US"/>
        </w:rPr>
        <w:t>lartë</w:t>
      </w:r>
      <w:proofErr w:type="spellEnd"/>
      <w:r>
        <w:rPr>
          <w:rFonts w:eastAsiaTheme="minorHAnsi"/>
          <w:lang w:val="en-US"/>
        </w:rPr>
        <w:t xml:space="preserve"> </w:t>
      </w:r>
      <w:proofErr w:type="spellStart"/>
      <w:r>
        <w:rPr>
          <w:rFonts w:eastAsiaTheme="minorHAnsi"/>
          <w:lang w:val="en-US"/>
        </w:rPr>
        <w:t>drejtues</w:t>
      </w:r>
      <w:proofErr w:type="spellEnd"/>
      <w:r>
        <w:rPr>
          <w:rFonts w:eastAsiaTheme="minorHAnsi"/>
          <w:lang w:val="en-US"/>
        </w:rPr>
        <w:t xml:space="preserve"> 87</w:t>
      </w:r>
      <w:r w:rsidR="007A5851" w:rsidRPr="0050721B">
        <w:rPr>
          <w:rFonts w:eastAsiaTheme="minorHAnsi"/>
          <w:lang w:val="en-US"/>
        </w:rPr>
        <w:t xml:space="preserve">% </w:t>
      </w:r>
      <w:proofErr w:type="spellStart"/>
      <w:r w:rsidR="007A5851" w:rsidRPr="0050721B">
        <w:rPr>
          <w:rFonts w:eastAsiaTheme="minorHAnsi"/>
          <w:lang w:val="en-US"/>
        </w:rPr>
        <w:t>janë</w:t>
      </w:r>
      <w:proofErr w:type="spellEnd"/>
      <w:r w:rsidR="007A5851" w:rsidRPr="0050721B">
        <w:rPr>
          <w:rFonts w:eastAsiaTheme="minorHAnsi"/>
          <w:lang w:val="en-US"/>
        </w:rPr>
        <w:t xml:space="preserve"> </w:t>
      </w:r>
      <w:proofErr w:type="spellStart"/>
      <w:r w:rsidR="007A5851" w:rsidRPr="0050721B">
        <w:rPr>
          <w:rFonts w:eastAsiaTheme="minorHAnsi"/>
          <w:lang w:val="en-US"/>
        </w:rPr>
        <w:t>gra</w:t>
      </w:r>
      <w:proofErr w:type="spellEnd"/>
      <w:r w:rsidR="007A5851" w:rsidRPr="0050721B">
        <w:rPr>
          <w:rFonts w:eastAsiaTheme="minorHAnsi"/>
          <w:lang w:val="en-US"/>
        </w:rPr>
        <w:t>. Do</w:t>
      </w:r>
      <w:r w:rsidR="004F5BF7" w:rsidRPr="0050721B">
        <w:rPr>
          <w:rFonts w:eastAsiaTheme="minorHAnsi"/>
          <w:lang w:val="en-US"/>
        </w:rPr>
        <w:t xml:space="preserve"> </w:t>
      </w:r>
      <w:r w:rsidR="007A5851" w:rsidRPr="0050721B">
        <w:rPr>
          <w:rFonts w:eastAsiaTheme="minorHAnsi"/>
          <w:lang w:val="en-US"/>
        </w:rPr>
        <w:t>t</w:t>
      </w:r>
      <w:r w:rsidR="004F5BF7" w:rsidRPr="0050721B">
        <w:rPr>
          <w:rFonts w:eastAsiaTheme="minorHAnsi"/>
          <w:lang w:val="en-US"/>
        </w:rPr>
        <w:t xml:space="preserve">ë vijohet me </w:t>
      </w:r>
      <w:proofErr w:type="spellStart"/>
      <w:r w:rsidR="004F5BF7" w:rsidRPr="0050721B">
        <w:rPr>
          <w:rFonts w:eastAsiaTheme="minorHAnsi"/>
          <w:lang w:val="en-US"/>
        </w:rPr>
        <w:t>monit</w:t>
      </w:r>
      <w:r w:rsidR="007A5851" w:rsidRPr="0050721B">
        <w:rPr>
          <w:rFonts w:eastAsiaTheme="minorHAnsi"/>
          <w:lang w:val="en-US"/>
        </w:rPr>
        <w:t>orimin</w:t>
      </w:r>
      <w:proofErr w:type="spellEnd"/>
      <w:r w:rsidR="007A5851" w:rsidRPr="0050721B">
        <w:rPr>
          <w:rFonts w:eastAsiaTheme="minorHAnsi"/>
          <w:lang w:val="en-US"/>
        </w:rPr>
        <w:t xml:space="preserve"> e 2 </w:t>
      </w:r>
      <w:proofErr w:type="spellStart"/>
      <w:r w:rsidR="007A5851" w:rsidRPr="0050721B">
        <w:rPr>
          <w:rFonts w:eastAsiaTheme="minorHAnsi"/>
          <w:lang w:val="en-US"/>
        </w:rPr>
        <w:t>pozicioneve</w:t>
      </w:r>
      <w:proofErr w:type="spellEnd"/>
      <w:r w:rsidR="007A5851" w:rsidRPr="0050721B">
        <w:rPr>
          <w:rFonts w:eastAsiaTheme="minorHAnsi"/>
          <w:lang w:val="en-US"/>
        </w:rPr>
        <w:t xml:space="preserve"> të lira, p</w:t>
      </w:r>
      <w:r>
        <w:rPr>
          <w:rFonts w:eastAsiaTheme="minorHAnsi"/>
          <w:lang w:val="en-US"/>
        </w:rPr>
        <w:t xml:space="preserve">as </w:t>
      </w:r>
      <w:proofErr w:type="spellStart"/>
      <w:r>
        <w:rPr>
          <w:rFonts w:eastAsiaTheme="minorHAnsi"/>
          <w:lang w:val="en-US"/>
        </w:rPr>
        <w:t>procesdurave</w:t>
      </w:r>
      <w:proofErr w:type="spellEnd"/>
      <w:r w:rsidR="007A5851" w:rsidRPr="0050721B">
        <w:rPr>
          <w:rFonts w:eastAsiaTheme="minorHAnsi"/>
          <w:lang w:val="en-US"/>
        </w:rPr>
        <w:t xml:space="preserve"> të </w:t>
      </w:r>
      <w:proofErr w:type="spellStart"/>
      <w:r w:rsidR="007A5851" w:rsidRPr="0050721B">
        <w:rPr>
          <w:rFonts w:eastAsiaTheme="minorHAnsi"/>
          <w:lang w:val="en-US"/>
        </w:rPr>
        <w:t>rekrutimit</w:t>
      </w:r>
      <w:proofErr w:type="spellEnd"/>
      <w:r w:rsidR="007A5851" w:rsidRPr="0050721B">
        <w:rPr>
          <w:rFonts w:eastAsiaTheme="minorHAnsi"/>
          <w:lang w:val="en-US"/>
        </w:rPr>
        <w:t xml:space="preserve">.  </w:t>
      </w:r>
    </w:p>
    <w:p w:rsidR="00DB519C" w:rsidRPr="0050721B" w:rsidRDefault="00DB519C" w:rsidP="0050721B">
      <w:pPr>
        <w:autoSpaceDE w:val="0"/>
        <w:autoSpaceDN w:val="0"/>
        <w:adjustRightInd w:val="0"/>
        <w:spacing w:line="276" w:lineRule="auto"/>
        <w:rPr>
          <w:rFonts w:eastAsiaTheme="minorHAnsi"/>
          <w:lang w:val="en-US"/>
        </w:rPr>
      </w:pPr>
    </w:p>
    <w:p w:rsidR="00CD0FB1" w:rsidRPr="0050721B" w:rsidRDefault="00F25F43" w:rsidP="0050721B">
      <w:pPr>
        <w:spacing w:after="120" w:line="276" w:lineRule="auto"/>
        <w:jc w:val="both"/>
        <w:rPr>
          <w:b/>
          <w:color w:val="000000" w:themeColor="text1"/>
        </w:rPr>
      </w:pPr>
      <w:r w:rsidRPr="0050721B">
        <w:rPr>
          <w:b/>
          <w:color w:val="000000" w:themeColor="text1"/>
        </w:rPr>
        <w:t xml:space="preserve">V. </w:t>
      </w:r>
      <w:r w:rsidR="008233D2" w:rsidRPr="0050721B">
        <w:rPr>
          <w:b/>
          <w:color w:val="000000" w:themeColor="text1"/>
        </w:rPr>
        <w:t>Të ardhurat nga sanksionet/gjoba</w:t>
      </w:r>
      <w:r w:rsidR="00891C9E" w:rsidRPr="0050721B">
        <w:rPr>
          <w:b/>
          <w:color w:val="000000" w:themeColor="text1"/>
        </w:rPr>
        <w:t xml:space="preserve">  </w:t>
      </w:r>
    </w:p>
    <w:p w:rsidR="00C72D7B" w:rsidRPr="0050721B" w:rsidRDefault="0039319D" w:rsidP="0050721B">
      <w:pPr>
        <w:tabs>
          <w:tab w:val="left" w:pos="142"/>
        </w:tabs>
        <w:spacing w:before="240" w:line="276" w:lineRule="auto"/>
        <w:jc w:val="both"/>
        <w:rPr>
          <w:color w:val="0D0D0D" w:themeColor="text1" w:themeTint="F2"/>
        </w:rPr>
      </w:pPr>
      <w:r w:rsidRPr="0050721B">
        <w:rPr>
          <w:color w:val="0D0D0D" w:themeColor="text1" w:themeTint="F2"/>
        </w:rPr>
        <w:t xml:space="preserve">Për periudhën raportuese, për Zyrën e Komisionerit, janë ekzekutuar </w:t>
      </w:r>
      <w:r w:rsidR="001963B9" w:rsidRPr="0050721B">
        <w:rPr>
          <w:b/>
          <w:color w:val="0D0D0D" w:themeColor="text1" w:themeTint="F2"/>
        </w:rPr>
        <w:t>11</w:t>
      </w:r>
      <w:r w:rsidRPr="0050721B">
        <w:rPr>
          <w:color w:val="0D0D0D" w:themeColor="text1" w:themeTint="F2"/>
        </w:rPr>
        <w:t xml:space="preserve"> vendime gjobe për vendime të dhëna në vitet 202</w:t>
      </w:r>
      <w:r w:rsidR="001963B9" w:rsidRPr="0050721B">
        <w:rPr>
          <w:color w:val="0D0D0D" w:themeColor="text1" w:themeTint="F2"/>
        </w:rPr>
        <w:t>1/2023</w:t>
      </w:r>
      <w:r w:rsidRPr="0050721B">
        <w:rPr>
          <w:color w:val="0D0D0D" w:themeColor="text1" w:themeTint="F2"/>
        </w:rPr>
        <w:t xml:space="preserve"> dhe 2024, në zbatim të legjislacionit për të drejtën e informimit dhe mbrojtjen e të dhënave personale. </w:t>
      </w:r>
      <w:r w:rsidR="00501829" w:rsidRPr="0050721B">
        <w:rPr>
          <w:color w:val="0D0D0D" w:themeColor="text1" w:themeTint="F2"/>
        </w:rPr>
        <w:t>Ekzekutimi i sanksioneve arkëtohet 100% në buxhetin e shtetit, duke u shlyer vullnetarisht ose nëpërmjet shërbimit përmbarimor</w:t>
      </w:r>
      <w:r w:rsidR="00501829" w:rsidRPr="0050721B">
        <w:rPr>
          <w:rFonts w:eastAsia="Batang"/>
          <w:b/>
          <w:color w:val="0D0D0D" w:themeColor="text1" w:themeTint="F2"/>
        </w:rPr>
        <w:t xml:space="preserve">. </w:t>
      </w:r>
      <w:r w:rsidRPr="0050721B">
        <w:rPr>
          <w:color w:val="0D0D0D" w:themeColor="text1" w:themeTint="F2"/>
        </w:rPr>
        <w:t xml:space="preserve">Nga këto </w:t>
      </w:r>
      <w:r w:rsidR="001963B9" w:rsidRPr="0050721B">
        <w:rPr>
          <w:b/>
          <w:color w:val="0D0D0D" w:themeColor="text1" w:themeTint="F2"/>
        </w:rPr>
        <w:t>11</w:t>
      </w:r>
      <w:r w:rsidRPr="0050721B">
        <w:rPr>
          <w:color w:val="0D0D0D" w:themeColor="text1" w:themeTint="F2"/>
        </w:rPr>
        <w:t xml:space="preserve"> vendime të ekzekutuara, rezulton se </w:t>
      </w:r>
      <w:r w:rsidR="00206491" w:rsidRPr="0050721B">
        <w:rPr>
          <w:b/>
          <w:color w:val="0D0D0D" w:themeColor="text1" w:themeTint="F2"/>
        </w:rPr>
        <w:t>3</w:t>
      </w:r>
      <w:r w:rsidRPr="0050721B">
        <w:rPr>
          <w:color w:val="0D0D0D" w:themeColor="text1" w:themeTint="F2"/>
        </w:rPr>
        <w:t xml:space="preserve"> prej tyre janë ekzekutuar nëpërmjet Zyrës Përmbarimore, në vler</w:t>
      </w:r>
      <w:r w:rsidR="00E76D5D">
        <w:rPr>
          <w:color w:val="0D0D0D" w:themeColor="text1" w:themeTint="F2"/>
        </w:rPr>
        <w:t xml:space="preserve">ën 160.000 lekë për sanksionet </w:t>
      </w:r>
      <w:r w:rsidRPr="0050721B">
        <w:rPr>
          <w:color w:val="0D0D0D" w:themeColor="text1" w:themeTint="F2"/>
        </w:rPr>
        <w:t xml:space="preserve">e mbartura nga vitet paraardhëse dhe </w:t>
      </w:r>
      <w:r w:rsidR="00206491" w:rsidRPr="0050721B">
        <w:rPr>
          <w:b/>
          <w:color w:val="0D0D0D" w:themeColor="text1" w:themeTint="F2"/>
        </w:rPr>
        <w:t>8</w:t>
      </w:r>
      <w:r w:rsidRPr="0050721B">
        <w:rPr>
          <w:color w:val="0D0D0D" w:themeColor="text1" w:themeTint="F2"/>
        </w:rPr>
        <w:t xml:space="preserve"> prej tyre janë ekzekutuar vullnetarisht, në vlerën </w:t>
      </w:r>
      <w:r w:rsidR="001963B9" w:rsidRPr="0050721B">
        <w:rPr>
          <w:color w:val="0D0D0D" w:themeColor="text1" w:themeTint="F2"/>
        </w:rPr>
        <w:t>875.000</w:t>
      </w:r>
      <w:r w:rsidRPr="0050721B">
        <w:rPr>
          <w:color w:val="0D0D0D" w:themeColor="text1" w:themeTint="F2"/>
        </w:rPr>
        <w:t xml:space="preserve"> lekë </w:t>
      </w:r>
      <w:r w:rsidR="001963B9" w:rsidRPr="0050721B">
        <w:rPr>
          <w:color w:val="0D0D0D" w:themeColor="text1" w:themeTint="F2"/>
        </w:rPr>
        <w:t xml:space="preserve"> </w:t>
      </w:r>
      <w:r w:rsidRPr="0050721B">
        <w:rPr>
          <w:color w:val="0D0D0D" w:themeColor="text1" w:themeTint="F2"/>
        </w:rPr>
        <w:t xml:space="preserve"> </w:t>
      </w:r>
      <w:r w:rsidRPr="0050721B">
        <w:rPr>
          <w:color w:val="0D0D0D" w:themeColor="text1" w:themeTint="F2"/>
        </w:rPr>
        <w:lastRenderedPageBreak/>
        <w:t xml:space="preserve">Vlerësohet derdhja vullnetare, </w:t>
      </w:r>
      <w:r w:rsidR="00501829" w:rsidRPr="0050721B">
        <w:rPr>
          <w:color w:val="0D0D0D" w:themeColor="text1" w:themeTint="F2"/>
        </w:rPr>
        <w:t>n</w:t>
      </w:r>
      <w:r w:rsidR="00DB519C" w:rsidRPr="0050721B">
        <w:rPr>
          <w:color w:val="0D0D0D" w:themeColor="text1" w:themeTint="F2"/>
        </w:rPr>
        <w:t xml:space="preserve">jë tregues pozitiv në rritje. </w:t>
      </w:r>
      <w:r w:rsidR="001963B9" w:rsidRPr="0050721B">
        <w:rPr>
          <w:color w:val="0D0D0D" w:themeColor="text1" w:themeTint="F2"/>
        </w:rPr>
        <w:t>Gjithsej të ardhurat për periudhën e raportimit janë në vlerën 1.035.000 lekë</w:t>
      </w:r>
    </w:p>
    <w:p w:rsidR="00364C8D" w:rsidRPr="0050721B" w:rsidRDefault="00E8234D" w:rsidP="0050721B">
      <w:pPr>
        <w:pStyle w:val="Heading1"/>
        <w:rPr>
          <w:rFonts w:ascii="Times New Roman" w:hAnsi="Times New Roman"/>
          <w:sz w:val="24"/>
          <w:szCs w:val="24"/>
        </w:rPr>
      </w:pPr>
      <w:r w:rsidRPr="0050721B">
        <w:rPr>
          <w:rFonts w:ascii="Times New Roman" w:hAnsi="Times New Roman"/>
          <w:sz w:val="24"/>
          <w:szCs w:val="24"/>
        </w:rPr>
        <w:t>VI. Problematicat dhe Rekomandimet</w:t>
      </w:r>
    </w:p>
    <w:p w:rsidR="007D7596" w:rsidRPr="0050721B" w:rsidRDefault="00364C8D" w:rsidP="0050721B">
      <w:pPr>
        <w:spacing w:line="276" w:lineRule="auto"/>
        <w:jc w:val="both"/>
      </w:pPr>
      <w:r w:rsidRPr="0050721B">
        <w:t xml:space="preserve">Megjithëse pjesa më e madhe e treguesve është realizuar sipas planit, janë identifikuar disa problematika që lidhen me vonesa të rastësishme në procesin e prokurimeve dhe nevojën për përmirësim të raportimit analitik. </w:t>
      </w:r>
      <w:r w:rsidR="007D7596" w:rsidRPr="0050721B">
        <w:t>Për adresimin e këtyre çështjeve janë nd</w:t>
      </w:r>
      <w:r w:rsidR="00E76D5D">
        <w:t>ërmarrë masat e nevojshme, duke</w:t>
      </w:r>
      <w:r w:rsidR="007D7596" w:rsidRPr="0050721B">
        <w:t xml:space="preserve"> </w:t>
      </w:r>
      <w:r w:rsidRPr="0050721B">
        <w:t>hart</w:t>
      </w:r>
      <w:r w:rsidR="007D7596" w:rsidRPr="0050721B">
        <w:t xml:space="preserve">uar </w:t>
      </w:r>
      <w:r w:rsidRPr="0050721B">
        <w:t>plani</w:t>
      </w:r>
      <w:r w:rsidR="007D7596" w:rsidRPr="0050721B">
        <w:t>n e</w:t>
      </w:r>
      <w:r w:rsidRPr="0050721B">
        <w:t xml:space="preserve"> veprim</w:t>
      </w:r>
      <w:r w:rsidR="007D7596" w:rsidRPr="0050721B">
        <w:t>eve</w:t>
      </w:r>
      <w:r w:rsidRPr="0050721B">
        <w:t xml:space="preserve"> </w:t>
      </w:r>
      <w:r w:rsidR="007D7596" w:rsidRPr="0050721B">
        <w:t>për zhvillimin e proceseve prokuruese si dhe duke fo</w:t>
      </w:r>
      <w:r w:rsidR="00E76D5D">
        <w:t>rcuar mbikëqyrjen e zbatimit të</w:t>
      </w:r>
      <w:r w:rsidR="007D7596" w:rsidRPr="0050721B">
        <w:t xml:space="preserve"> afateve të prokurimeve.  </w:t>
      </w:r>
    </w:p>
    <w:p w:rsidR="007D7596" w:rsidRPr="0050721B" w:rsidRDefault="007D7596" w:rsidP="0050721B">
      <w:pPr>
        <w:pStyle w:val="Heading1"/>
        <w:rPr>
          <w:rFonts w:ascii="Times New Roman" w:hAnsi="Times New Roman"/>
          <w:sz w:val="24"/>
          <w:szCs w:val="24"/>
        </w:rPr>
      </w:pPr>
      <w:r w:rsidRPr="0050721B">
        <w:rPr>
          <w:rFonts w:ascii="Times New Roman" w:hAnsi="Times New Roman"/>
          <w:sz w:val="24"/>
          <w:szCs w:val="24"/>
        </w:rPr>
        <w:t>VII. Rekomandime për Vijueshmërinë</w:t>
      </w:r>
      <w:r w:rsidR="001E29F1" w:rsidRPr="0050721B">
        <w:rPr>
          <w:rFonts w:ascii="Times New Roman" w:hAnsi="Times New Roman"/>
          <w:sz w:val="24"/>
          <w:szCs w:val="24"/>
        </w:rPr>
        <w:t xml:space="preserve"> </w:t>
      </w:r>
    </w:p>
    <w:p w:rsidR="007D7596" w:rsidRPr="0050721B" w:rsidRDefault="007D7596" w:rsidP="0050721B">
      <w:pPr>
        <w:spacing w:line="276" w:lineRule="auto"/>
      </w:pPr>
      <w:r w:rsidRPr="0050721B">
        <w:t>• Përshpejti</w:t>
      </w:r>
      <w:r w:rsidR="00E73B07" w:rsidRPr="0050721B">
        <w:t xml:space="preserve">mi i realizimit të investimeve </w:t>
      </w:r>
      <w:r w:rsidRPr="0050721B">
        <w:t>.</w:t>
      </w:r>
      <w:r w:rsidRPr="0050721B">
        <w:br/>
        <w:t>• Rritja e kapaciteteve përmes trajnimeve specifike për fushat me tregues nën objektiv.</w:t>
      </w:r>
      <w:r w:rsidRPr="0050721B">
        <w:br/>
        <w:t xml:space="preserve">• Përmirësimi i sistemeve të mbledhjes dhe analizës së të dhënave për monitorim </w:t>
      </w:r>
      <w:r w:rsidR="00E76D5D">
        <w:t>më të saktë.</w:t>
      </w:r>
      <w:r w:rsidR="00E76D5D">
        <w:br/>
        <w:t>•</w:t>
      </w:r>
      <w:r w:rsidRPr="0050721B">
        <w:t>Vijimi i mbajtjes së standardeve të larta të shërbimit dhe transparencës.</w:t>
      </w:r>
    </w:p>
    <w:p w:rsidR="007D7596" w:rsidRPr="0050721B" w:rsidRDefault="007D7596" w:rsidP="0050721B">
      <w:pPr>
        <w:spacing w:line="276" w:lineRule="auto"/>
        <w:jc w:val="both"/>
      </w:pPr>
    </w:p>
    <w:p w:rsidR="00364C8D" w:rsidRPr="0050721B" w:rsidRDefault="00364C8D" w:rsidP="0050721B">
      <w:pPr>
        <w:spacing w:line="276" w:lineRule="auto"/>
        <w:jc w:val="both"/>
      </w:pPr>
      <w:r w:rsidRPr="0050721B">
        <w:t xml:space="preserve">Në përfundim, Zyra e Komisionerit ka arritur të realizojë me sukses objektivat kryesore të parashikuara për periudhën raportuese, duke ruajtur balancën mes performancës financiare dhe asaj operacionale. Zbatimi i rekomandimeve të mësipërme pritet të përmirësojë më tej eficiencën dhe cilësinë e </w:t>
      </w:r>
      <w:r w:rsidR="004F47A6" w:rsidRPr="0050721B">
        <w:t xml:space="preserve">aktiviteteve e shërbimeve. </w:t>
      </w:r>
    </w:p>
    <w:p w:rsidR="00DB519C" w:rsidRPr="0050721B" w:rsidRDefault="00DB519C" w:rsidP="0050721B">
      <w:pPr>
        <w:tabs>
          <w:tab w:val="left" w:pos="142"/>
        </w:tabs>
        <w:spacing w:before="240" w:line="276" w:lineRule="auto"/>
        <w:jc w:val="both"/>
      </w:pPr>
    </w:p>
    <w:p w:rsidR="00AC3678" w:rsidRPr="0050721B" w:rsidRDefault="00AC3678" w:rsidP="0050721B">
      <w:pPr>
        <w:pStyle w:val="ListParagraph"/>
        <w:ind w:left="360"/>
        <w:jc w:val="center"/>
        <w:rPr>
          <w:rFonts w:ascii="Times New Roman" w:hAnsi="Times New Roman"/>
          <w:sz w:val="24"/>
          <w:szCs w:val="24"/>
          <w:lang w:val="it-IT"/>
        </w:rPr>
      </w:pPr>
      <w:r w:rsidRPr="0050721B">
        <w:rPr>
          <w:rFonts w:ascii="Times New Roman" w:hAnsi="Times New Roman"/>
          <w:b/>
          <w:color w:val="0D0D0D"/>
          <w:sz w:val="24"/>
          <w:szCs w:val="24"/>
        </w:rPr>
        <w:t>SEKRETAR I PËRGJITHSHËM</w:t>
      </w:r>
    </w:p>
    <w:p w:rsidR="008233D2" w:rsidRPr="0050721B" w:rsidRDefault="00E76D5D" w:rsidP="0050721B">
      <w:pPr>
        <w:spacing w:line="276" w:lineRule="auto"/>
        <w:jc w:val="center"/>
        <w:rPr>
          <w:b/>
          <w:color w:val="0D0D0D"/>
        </w:rPr>
      </w:pPr>
      <w:r>
        <w:rPr>
          <w:b/>
          <w:color w:val="0D0D0D"/>
        </w:rPr>
        <w:t xml:space="preserve">  </w:t>
      </w:r>
      <w:r w:rsidR="00AC3678" w:rsidRPr="0050721B">
        <w:rPr>
          <w:b/>
          <w:color w:val="0D0D0D"/>
        </w:rPr>
        <w:t>Blerta Nerguti</w:t>
      </w:r>
    </w:p>
    <w:p w:rsidR="00DB519C" w:rsidRPr="0050721B" w:rsidRDefault="00DB519C" w:rsidP="0050721B">
      <w:pPr>
        <w:spacing w:line="276" w:lineRule="auto"/>
        <w:jc w:val="center"/>
        <w:rPr>
          <w:b/>
          <w:color w:val="0D0D0D"/>
        </w:rPr>
      </w:pPr>
    </w:p>
    <w:p w:rsidR="00E76D5D" w:rsidRDefault="00E76D5D" w:rsidP="0050721B">
      <w:pPr>
        <w:tabs>
          <w:tab w:val="left" w:pos="6765"/>
        </w:tabs>
        <w:spacing w:line="276" w:lineRule="auto"/>
        <w:rPr>
          <w:rFonts w:eastAsia="Batang"/>
          <w:i/>
          <w:sz w:val="18"/>
          <w:szCs w:val="18"/>
        </w:rPr>
      </w:pPr>
    </w:p>
    <w:p w:rsidR="00E76D5D" w:rsidRDefault="00E76D5D" w:rsidP="0050721B">
      <w:pPr>
        <w:tabs>
          <w:tab w:val="left" w:pos="6765"/>
        </w:tabs>
        <w:spacing w:line="276" w:lineRule="auto"/>
        <w:rPr>
          <w:rFonts w:eastAsia="Batang"/>
          <w:i/>
          <w:sz w:val="18"/>
          <w:szCs w:val="18"/>
        </w:rPr>
      </w:pPr>
    </w:p>
    <w:p w:rsidR="00E76D5D" w:rsidRDefault="00E76D5D" w:rsidP="0050721B">
      <w:pPr>
        <w:tabs>
          <w:tab w:val="left" w:pos="6765"/>
        </w:tabs>
        <w:spacing w:line="276" w:lineRule="auto"/>
        <w:rPr>
          <w:rFonts w:eastAsia="Batang"/>
          <w:i/>
          <w:sz w:val="18"/>
          <w:szCs w:val="18"/>
        </w:rPr>
      </w:pPr>
    </w:p>
    <w:p w:rsidR="00E76D5D" w:rsidRDefault="00E76D5D" w:rsidP="0050721B">
      <w:pPr>
        <w:tabs>
          <w:tab w:val="left" w:pos="6765"/>
        </w:tabs>
        <w:spacing w:line="276" w:lineRule="auto"/>
        <w:rPr>
          <w:rFonts w:eastAsia="Batang"/>
          <w:i/>
          <w:sz w:val="18"/>
          <w:szCs w:val="18"/>
        </w:rPr>
      </w:pPr>
    </w:p>
    <w:p w:rsidR="00E76D5D" w:rsidRDefault="00E76D5D" w:rsidP="0050721B">
      <w:pPr>
        <w:tabs>
          <w:tab w:val="left" w:pos="6765"/>
        </w:tabs>
        <w:spacing w:line="276" w:lineRule="auto"/>
        <w:rPr>
          <w:rFonts w:eastAsia="Batang"/>
          <w:i/>
          <w:sz w:val="18"/>
          <w:szCs w:val="18"/>
        </w:rPr>
      </w:pPr>
    </w:p>
    <w:p w:rsidR="00E76D5D" w:rsidRDefault="00E76D5D" w:rsidP="0050721B">
      <w:pPr>
        <w:tabs>
          <w:tab w:val="left" w:pos="6765"/>
        </w:tabs>
        <w:spacing w:line="276" w:lineRule="auto"/>
        <w:rPr>
          <w:rFonts w:eastAsia="Batang"/>
          <w:i/>
          <w:sz w:val="18"/>
          <w:szCs w:val="18"/>
        </w:rPr>
      </w:pPr>
    </w:p>
    <w:p w:rsidR="00E76D5D" w:rsidRDefault="00E76D5D" w:rsidP="0050721B">
      <w:pPr>
        <w:tabs>
          <w:tab w:val="left" w:pos="6765"/>
        </w:tabs>
        <w:spacing w:line="276" w:lineRule="auto"/>
        <w:rPr>
          <w:rFonts w:eastAsia="Batang"/>
          <w:i/>
          <w:sz w:val="18"/>
          <w:szCs w:val="18"/>
        </w:rPr>
      </w:pPr>
    </w:p>
    <w:p w:rsidR="00E76D5D" w:rsidRDefault="00E76D5D" w:rsidP="0050721B">
      <w:pPr>
        <w:tabs>
          <w:tab w:val="left" w:pos="6765"/>
        </w:tabs>
        <w:spacing w:line="276" w:lineRule="auto"/>
        <w:rPr>
          <w:rFonts w:eastAsia="Batang"/>
          <w:i/>
          <w:sz w:val="18"/>
          <w:szCs w:val="18"/>
        </w:rPr>
      </w:pPr>
    </w:p>
    <w:p w:rsidR="00E76D5D" w:rsidRDefault="00E76D5D" w:rsidP="0050721B">
      <w:pPr>
        <w:tabs>
          <w:tab w:val="left" w:pos="6765"/>
        </w:tabs>
        <w:spacing w:line="276" w:lineRule="auto"/>
        <w:rPr>
          <w:rFonts w:eastAsia="Batang"/>
          <w:i/>
          <w:sz w:val="18"/>
          <w:szCs w:val="18"/>
        </w:rPr>
      </w:pPr>
    </w:p>
    <w:p w:rsidR="00E76D5D" w:rsidRDefault="00E76D5D" w:rsidP="0050721B">
      <w:pPr>
        <w:tabs>
          <w:tab w:val="left" w:pos="6765"/>
        </w:tabs>
        <w:spacing w:line="276" w:lineRule="auto"/>
        <w:rPr>
          <w:rFonts w:eastAsia="Batang"/>
          <w:i/>
          <w:sz w:val="18"/>
          <w:szCs w:val="18"/>
        </w:rPr>
      </w:pPr>
    </w:p>
    <w:p w:rsidR="00E76D5D" w:rsidRDefault="00E76D5D" w:rsidP="0050721B">
      <w:pPr>
        <w:tabs>
          <w:tab w:val="left" w:pos="6765"/>
        </w:tabs>
        <w:spacing w:line="276" w:lineRule="auto"/>
        <w:rPr>
          <w:rFonts w:eastAsia="Batang"/>
          <w:i/>
          <w:sz w:val="18"/>
          <w:szCs w:val="18"/>
        </w:rPr>
      </w:pPr>
    </w:p>
    <w:p w:rsidR="00E76D5D" w:rsidRDefault="00E76D5D" w:rsidP="0050721B">
      <w:pPr>
        <w:tabs>
          <w:tab w:val="left" w:pos="6765"/>
        </w:tabs>
        <w:spacing w:line="276" w:lineRule="auto"/>
        <w:rPr>
          <w:rFonts w:eastAsia="Batang"/>
          <w:i/>
          <w:sz w:val="18"/>
          <w:szCs w:val="18"/>
        </w:rPr>
      </w:pPr>
    </w:p>
    <w:p w:rsidR="00E76D5D" w:rsidRDefault="00E76D5D" w:rsidP="0050721B">
      <w:pPr>
        <w:tabs>
          <w:tab w:val="left" w:pos="6765"/>
        </w:tabs>
        <w:spacing w:line="276" w:lineRule="auto"/>
        <w:rPr>
          <w:rFonts w:eastAsia="Batang"/>
          <w:i/>
          <w:sz w:val="18"/>
          <w:szCs w:val="18"/>
        </w:rPr>
      </w:pPr>
    </w:p>
    <w:p w:rsidR="00E76D5D" w:rsidRDefault="00E76D5D" w:rsidP="0050721B">
      <w:pPr>
        <w:tabs>
          <w:tab w:val="left" w:pos="6765"/>
        </w:tabs>
        <w:spacing w:line="276" w:lineRule="auto"/>
        <w:rPr>
          <w:rFonts w:eastAsia="Batang"/>
          <w:i/>
          <w:sz w:val="18"/>
          <w:szCs w:val="18"/>
        </w:rPr>
      </w:pPr>
    </w:p>
    <w:p w:rsidR="00E76D5D" w:rsidRDefault="00E76D5D" w:rsidP="0050721B">
      <w:pPr>
        <w:tabs>
          <w:tab w:val="left" w:pos="6765"/>
        </w:tabs>
        <w:spacing w:line="276" w:lineRule="auto"/>
        <w:rPr>
          <w:rFonts w:eastAsia="Batang"/>
          <w:i/>
          <w:sz w:val="18"/>
          <w:szCs w:val="18"/>
        </w:rPr>
      </w:pPr>
    </w:p>
    <w:p w:rsidR="00E76D5D" w:rsidRDefault="00E76D5D" w:rsidP="0050721B">
      <w:pPr>
        <w:tabs>
          <w:tab w:val="left" w:pos="6765"/>
        </w:tabs>
        <w:spacing w:line="276" w:lineRule="auto"/>
        <w:rPr>
          <w:rFonts w:eastAsia="Batang"/>
          <w:i/>
          <w:sz w:val="18"/>
          <w:szCs w:val="18"/>
        </w:rPr>
      </w:pPr>
    </w:p>
    <w:p w:rsidR="00E76D5D" w:rsidRDefault="00E76D5D" w:rsidP="0050721B">
      <w:pPr>
        <w:tabs>
          <w:tab w:val="left" w:pos="6765"/>
        </w:tabs>
        <w:spacing w:line="276" w:lineRule="auto"/>
        <w:rPr>
          <w:rFonts w:eastAsia="Batang"/>
          <w:i/>
          <w:sz w:val="18"/>
          <w:szCs w:val="18"/>
        </w:rPr>
      </w:pPr>
    </w:p>
    <w:p w:rsidR="00E76D5D" w:rsidRDefault="00E76D5D" w:rsidP="0050721B">
      <w:pPr>
        <w:tabs>
          <w:tab w:val="left" w:pos="6765"/>
        </w:tabs>
        <w:spacing w:line="276" w:lineRule="auto"/>
        <w:rPr>
          <w:rFonts w:eastAsia="Batang"/>
          <w:i/>
          <w:sz w:val="18"/>
          <w:szCs w:val="18"/>
        </w:rPr>
      </w:pPr>
    </w:p>
    <w:p w:rsidR="00E76D5D" w:rsidRDefault="00E76D5D" w:rsidP="0050721B">
      <w:pPr>
        <w:tabs>
          <w:tab w:val="left" w:pos="6765"/>
        </w:tabs>
        <w:spacing w:line="276" w:lineRule="auto"/>
        <w:rPr>
          <w:rFonts w:eastAsia="Batang"/>
          <w:i/>
          <w:sz w:val="18"/>
          <w:szCs w:val="18"/>
        </w:rPr>
      </w:pPr>
    </w:p>
    <w:p w:rsidR="00E76D5D" w:rsidRDefault="00E76D5D" w:rsidP="0050721B">
      <w:pPr>
        <w:tabs>
          <w:tab w:val="left" w:pos="6765"/>
        </w:tabs>
        <w:spacing w:line="276" w:lineRule="auto"/>
        <w:rPr>
          <w:rFonts w:eastAsia="Batang"/>
          <w:i/>
          <w:sz w:val="18"/>
          <w:szCs w:val="18"/>
        </w:rPr>
      </w:pPr>
    </w:p>
    <w:p w:rsidR="00E76D5D" w:rsidRDefault="00E76D5D" w:rsidP="0050721B">
      <w:pPr>
        <w:tabs>
          <w:tab w:val="left" w:pos="6765"/>
        </w:tabs>
        <w:spacing w:line="276" w:lineRule="auto"/>
        <w:rPr>
          <w:rFonts w:eastAsia="Batang"/>
          <w:i/>
          <w:sz w:val="18"/>
          <w:szCs w:val="18"/>
        </w:rPr>
      </w:pPr>
    </w:p>
    <w:p w:rsidR="00E76D5D" w:rsidRDefault="00E76D5D" w:rsidP="0050721B">
      <w:pPr>
        <w:tabs>
          <w:tab w:val="left" w:pos="6765"/>
        </w:tabs>
        <w:spacing w:line="276" w:lineRule="auto"/>
        <w:rPr>
          <w:rFonts w:eastAsia="Batang"/>
          <w:i/>
          <w:sz w:val="18"/>
          <w:szCs w:val="18"/>
        </w:rPr>
      </w:pPr>
    </w:p>
    <w:p w:rsidR="00C72D7B" w:rsidRPr="00E76D5D" w:rsidRDefault="00AC3678" w:rsidP="0050721B">
      <w:pPr>
        <w:tabs>
          <w:tab w:val="left" w:pos="6765"/>
        </w:tabs>
        <w:spacing w:line="276" w:lineRule="auto"/>
        <w:rPr>
          <w:rFonts w:eastAsia="Batang"/>
          <w:i/>
          <w:sz w:val="18"/>
          <w:szCs w:val="18"/>
        </w:rPr>
      </w:pPr>
      <w:r w:rsidRPr="00E76D5D">
        <w:rPr>
          <w:rFonts w:eastAsia="Batang"/>
          <w:i/>
          <w:sz w:val="18"/>
          <w:szCs w:val="18"/>
        </w:rPr>
        <w:t xml:space="preserve">Konceptoi : L.Xhakaj, D.Skurra, A.Kapidani </w:t>
      </w:r>
    </w:p>
    <w:p w:rsidR="00AC3678" w:rsidRPr="00E76D5D" w:rsidRDefault="00AC3678" w:rsidP="0050721B">
      <w:pPr>
        <w:tabs>
          <w:tab w:val="left" w:pos="6765"/>
        </w:tabs>
        <w:spacing w:line="276" w:lineRule="auto"/>
        <w:rPr>
          <w:rFonts w:eastAsia="Batang"/>
          <w:b/>
          <w:sz w:val="18"/>
          <w:szCs w:val="18"/>
        </w:rPr>
      </w:pPr>
      <w:r w:rsidRPr="00E76D5D">
        <w:rPr>
          <w:rFonts w:eastAsia="Batang"/>
          <w:i/>
          <w:sz w:val="18"/>
          <w:szCs w:val="18"/>
        </w:rPr>
        <w:t>Sigloi: L.Morina</w:t>
      </w:r>
      <w:r w:rsidRPr="00E76D5D">
        <w:rPr>
          <w:rFonts w:eastAsia="Batang"/>
          <w:b/>
          <w:sz w:val="18"/>
          <w:szCs w:val="18"/>
        </w:rPr>
        <w:t xml:space="preserve"> </w:t>
      </w:r>
    </w:p>
    <w:p w:rsidR="00C72D7B" w:rsidRPr="0050721B" w:rsidRDefault="00C72D7B" w:rsidP="0050721B">
      <w:pPr>
        <w:tabs>
          <w:tab w:val="left" w:pos="6765"/>
        </w:tabs>
        <w:spacing w:line="276" w:lineRule="auto"/>
        <w:rPr>
          <w:rFonts w:eastAsia="Batang"/>
          <w:b/>
        </w:rPr>
      </w:pPr>
    </w:p>
    <w:p w:rsidR="00C72D7B" w:rsidRPr="00DB519C" w:rsidRDefault="00C72D7B" w:rsidP="007A31D4">
      <w:pPr>
        <w:tabs>
          <w:tab w:val="left" w:pos="6765"/>
        </w:tabs>
        <w:spacing w:line="276" w:lineRule="auto"/>
        <w:rPr>
          <w:rFonts w:eastAsia="Batang"/>
          <w:b/>
        </w:rPr>
      </w:pPr>
    </w:p>
    <w:p w:rsidR="00C72D7B" w:rsidRDefault="00A13481" w:rsidP="007A31D4">
      <w:pPr>
        <w:tabs>
          <w:tab w:val="left" w:pos="6765"/>
        </w:tabs>
        <w:spacing w:line="276" w:lineRule="auto"/>
        <w:rPr>
          <w:rFonts w:eastAsia="Batang"/>
          <w:b/>
        </w:rPr>
      </w:pPr>
      <w:r>
        <w:rPr>
          <w:rFonts w:eastAsia="Batang"/>
          <w:b/>
        </w:rPr>
        <w:t xml:space="preserve"> </w:t>
      </w:r>
    </w:p>
    <w:p w:rsidR="00C72D7B" w:rsidRDefault="00C72D7B" w:rsidP="007A31D4">
      <w:pPr>
        <w:tabs>
          <w:tab w:val="left" w:pos="6765"/>
        </w:tabs>
        <w:spacing w:line="276" w:lineRule="auto"/>
        <w:rPr>
          <w:rFonts w:eastAsia="Batang"/>
          <w:b/>
        </w:rPr>
      </w:pPr>
    </w:p>
    <w:p w:rsidR="00C72D7B" w:rsidRDefault="00C72D7B" w:rsidP="007A31D4">
      <w:pPr>
        <w:tabs>
          <w:tab w:val="left" w:pos="6765"/>
        </w:tabs>
        <w:spacing w:line="276" w:lineRule="auto"/>
        <w:rPr>
          <w:rFonts w:eastAsia="Batang"/>
          <w:b/>
        </w:rPr>
      </w:pPr>
    </w:p>
    <w:p w:rsidR="00C72D7B" w:rsidRDefault="00C72D7B" w:rsidP="007A31D4">
      <w:pPr>
        <w:tabs>
          <w:tab w:val="left" w:pos="6765"/>
        </w:tabs>
        <w:spacing w:line="276" w:lineRule="auto"/>
        <w:rPr>
          <w:rFonts w:eastAsia="Batang"/>
          <w:b/>
        </w:rPr>
      </w:pPr>
    </w:p>
    <w:p w:rsidR="00C72D7B" w:rsidRDefault="00C72D7B" w:rsidP="007A31D4">
      <w:pPr>
        <w:tabs>
          <w:tab w:val="left" w:pos="6765"/>
        </w:tabs>
        <w:spacing w:line="276" w:lineRule="auto"/>
        <w:rPr>
          <w:rFonts w:eastAsia="Batang"/>
          <w:b/>
        </w:rPr>
      </w:pPr>
    </w:p>
    <w:p w:rsidR="00C72D7B" w:rsidRDefault="00C72D7B" w:rsidP="007A31D4">
      <w:pPr>
        <w:tabs>
          <w:tab w:val="left" w:pos="6765"/>
        </w:tabs>
        <w:spacing w:line="276" w:lineRule="auto"/>
        <w:rPr>
          <w:rFonts w:eastAsia="Batang"/>
          <w:b/>
        </w:rPr>
      </w:pPr>
    </w:p>
    <w:p w:rsidR="00C72D7B" w:rsidRDefault="00C72D7B" w:rsidP="007A31D4">
      <w:pPr>
        <w:tabs>
          <w:tab w:val="left" w:pos="6765"/>
        </w:tabs>
        <w:spacing w:line="276" w:lineRule="auto"/>
        <w:rPr>
          <w:rFonts w:eastAsia="Batang"/>
          <w:b/>
        </w:rPr>
      </w:pPr>
    </w:p>
    <w:p w:rsidR="00C72D7B" w:rsidRDefault="00C72D7B" w:rsidP="007A31D4">
      <w:pPr>
        <w:tabs>
          <w:tab w:val="left" w:pos="6765"/>
        </w:tabs>
        <w:spacing w:line="276" w:lineRule="auto"/>
        <w:rPr>
          <w:rFonts w:eastAsia="Batang"/>
          <w:b/>
        </w:rPr>
      </w:pPr>
    </w:p>
    <w:p w:rsidR="00C72D7B" w:rsidRPr="007A31D4" w:rsidRDefault="00C72D7B" w:rsidP="007A31D4">
      <w:pPr>
        <w:tabs>
          <w:tab w:val="left" w:pos="6765"/>
        </w:tabs>
        <w:spacing w:line="276" w:lineRule="auto"/>
        <w:rPr>
          <w:rFonts w:eastAsia="Batang"/>
          <w:b/>
        </w:rPr>
      </w:pPr>
    </w:p>
    <w:p w:rsidR="00CA389F" w:rsidRPr="00C72D7B" w:rsidRDefault="00CA389F" w:rsidP="007A31D4">
      <w:pPr>
        <w:tabs>
          <w:tab w:val="left" w:pos="6765"/>
        </w:tabs>
        <w:spacing w:line="276" w:lineRule="auto"/>
        <w:rPr>
          <w:rFonts w:eastAsia="Batang"/>
          <w:sz w:val="20"/>
          <w:szCs w:val="20"/>
        </w:rPr>
      </w:pPr>
    </w:p>
    <w:p w:rsidR="00CA389F" w:rsidRPr="007A31D4" w:rsidRDefault="00CA389F" w:rsidP="007A31D4">
      <w:pPr>
        <w:tabs>
          <w:tab w:val="left" w:pos="6765"/>
        </w:tabs>
        <w:spacing w:line="276" w:lineRule="auto"/>
        <w:rPr>
          <w:rFonts w:eastAsia="Batang"/>
        </w:rPr>
      </w:pPr>
    </w:p>
    <w:p w:rsidR="004E5A1C" w:rsidRPr="00704FD0" w:rsidRDefault="003F0960" w:rsidP="00C72D7B">
      <w:pPr>
        <w:tabs>
          <w:tab w:val="left" w:pos="6765"/>
        </w:tabs>
        <w:spacing w:line="276" w:lineRule="auto"/>
        <w:jc w:val="center"/>
      </w:pPr>
      <w:r w:rsidRPr="007A31D4">
        <w:rPr>
          <w:rFonts w:eastAsia="Batang"/>
          <w:b/>
        </w:rPr>
        <w:t xml:space="preserve">          </w:t>
      </w:r>
      <w:r w:rsidR="00C72D7B">
        <w:rPr>
          <w:rFonts w:eastAsia="Batang"/>
          <w:b/>
        </w:rPr>
        <w:t xml:space="preserve">                        </w:t>
      </w:r>
    </w:p>
    <w:sectPr w:rsidR="004E5A1C" w:rsidRPr="00704FD0" w:rsidSect="00E76D5D">
      <w:footerReference w:type="default" r:id="rId11"/>
      <w:pgSz w:w="11907" w:h="16839" w:code="9"/>
      <w:pgMar w:top="1134" w:right="1701" w:bottom="1134" w:left="1701" w:header="720" w:footer="64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B84" w:rsidRDefault="00AE3B84">
      <w:r>
        <w:separator/>
      </w:r>
    </w:p>
  </w:endnote>
  <w:endnote w:type="continuationSeparator" w:id="0">
    <w:p w:rsidR="00AE3B84" w:rsidRDefault="00AE3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Adobe Myungjo Std M">
    <w:panose1 w:val="00000000000000000000"/>
    <w:charset w:val="80"/>
    <w:family w:val="roman"/>
    <w:notTrueType/>
    <w:pitch w:val="variable"/>
    <w:sig w:usb0="800002A7" w:usb1="29D7FCFB" w:usb2="00000010" w:usb3="00000000" w:csb0="002A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57C" w:rsidRDefault="00D3657C" w:rsidP="00A62F9D">
    <w:pPr>
      <w:pStyle w:val="Footer"/>
    </w:pPr>
    <w:r>
      <w:rPr>
        <w:noProof/>
        <w:sz w:val="16"/>
        <w:szCs w:val="16"/>
        <w:lang w:val="en-US" w:eastAsia="en-US"/>
      </w:rPr>
      <mc:AlternateContent>
        <mc:Choice Requires="wps">
          <w:drawing>
            <wp:anchor distT="0" distB="0" distL="114300" distR="114300" simplePos="0" relativeHeight="251670528" behindDoc="0" locked="0" layoutInCell="1" allowOverlap="1" wp14:anchorId="5D229617" wp14:editId="12E4D8BC">
              <wp:simplePos x="0" y="0"/>
              <wp:positionH relativeFrom="column">
                <wp:posOffset>-51435</wp:posOffset>
              </wp:positionH>
              <wp:positionV relativeFrom="paragraph">
                <wp:posOffset>-29845</wp:posOffset>
              </wp:positionV>
              <wp:extent cx="5472000" cy="0"/>
              <wp:effectExtent l="0" t="0" r="33655" b="19050"/>
              <wp:wrapNone/>
              <wp:docPr id="7" name="Straight Connector 7"/>
              <wp:cNvGraphicFramePr/>
              <a:graphic xmlns:a="http://schemas.openxmlformats.org/drawingml/2006/main">
                <a:graphicData uri="http://schemas.microsoft.com/office/word/2010/wordprocessingShape">
                  <wps:wsp>
                    <wps:cNvCnPr/>
                    <wps:spPr>
                      <a:xfrm>
                        <a:off x="0" y="0"/>
                        <a:ext cx="5472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38BCBF" id="Straight Connector 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2.35pt" to="42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" strokecolor="black [3213]" strokeweight="1.5pt"/>
          </w:pict>
        </mc:Fallback>
      </mc:AlternateContent>
    </w:r>
    <w:r w:rsidRPr="009D51CA">
      <w:rPr>
        <w:sz w:val="16"/>
        <w:szCs w:val="16"/>
        <w:lang w:val="it-IT"/>
      </w:rPr>
      <w:t>Adresa:</w:t>
    </w:r>
    <w:r w:rsidRPr="009D51CA">
      <w:rPr>
        <w:bCs/>
        <w:sz w:val="16"/>
        <w:szCs w:val="16"/>
      </w:rPr>
      <w:t xml:space="preserve"> “Rr. </w:t>
    </w:r>
    <w:r>
      <w:rPr>
        <w:bCs/>
        <w:sz w:val="16"/>
        <w:szCs w:val="16"/>
      </w:rPr>
      <w:t>Abdi Toptani</w:t>
    </w:r>
    <w:r w:rsidRPr="009D51CA">
      <w:rPr>
        <w:bCs/>
        <w:sz w:val="16"/>
        <w:szCs w:val="16"/>
      </w:rPr>
      <w:t>,</w:t>
    </w:r>
    <w:r>
      <w:rPr>
        <w:bCs/>
        <w:sz w:val="16"/>
        <w:szCs w:val="16"/>
      </w:rPr>
      <w:t xml:space="preserve"> Nd.5</w:t>
    </w:r>
    <w:r w:rsidRPr="009D51CA">
      <w:rPr>
        <w:bCs/>
        <w:sz w:val="16"/>
        <w:szCs w:val="16"/>
      </w:rPr>
      <w:t xml:space="preserve"> Tirane”. </w:t>
    </w:r>
    <w:r>
      <w:rPr>
        <w:sz w:val="16"/>
        <w:szCs w:val="16"/>
      </w:rPr>
      <w:t xml:space="preserve">                              </w:t>
    </w:r>
    <w:r w:rsidRPr="009D51CA">
      <w:rPr>
        <w:sz w:val="16"/>
        <w:szCs w:val="16"/>
      </w:rPr>
      <w:t xml:space="preserve">Telefon:00355 42237200 </w:t>
    </w:r>
    <w:r>
      <w:rPr>
        <w:sz w:val="16"/>
        <w:szCs w:val="16"/>
      </w:rPr>
      <w:t xml:space="preserve">                           </w:t>
    </w:r>
    <w:hyperlink r:id="rId1" w:history="1">
      <w:r w:rsidRPr="00404381">
        <w:rPr>
          <w:rStyle w:val="Hyperlink"/>
          <w:sz w:val="16"/>
          <w:szCs w:val="16"/>
        </w:rPr>
        <w:t>www.idp.al</w:t>
      </w:r>
    </w:hyperlink>
    <w:r w:rsidRPr="00A02BAF">
      <w:rPr>
        <w:color w:val="365F91" w:themeColor="accent1" w:themeShade="BF"/>
        <w:sz w:val="16"/>
        <w:szCs w:val="16"/>
        <w:u w:val="single"/>
      </w:rPr>
      <w:t xml:space="preserve"> info@idp.al</w:t>
    </w:r>
    <w:r w:rsidRPr="001B6125">
      <w:rPr>
        <w:color w:val="0070C0"/>
        <w:sz w:val="16"/>
        <w:szCs w:val="16"/>
      </w:rPr>
      <w:tab/>
    </w:r>
  </w:p>
  <w:p w:rsidR="00D3657C" w:rsidRPr="00F34C5B" w:rsidRDefault="00D3657C" w:rsidP="00A62F9D">
    <w:pPr>
      <w:pStyle w:val="Footer"/>
      <w:rPr>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B84" w:rsidRDefault="00AE3B84">
      <w:r>
        <w:separator/>
      </w:r>
    </w:p>
  </w:footnote>
  <w:footnote w:type="continuationSeparator" w:id="0">
    <w:p w:rsidR="00AE3B84" w:rsidRDefault="00AE3B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C909"/>
      </v:shape>
    </w:pict>
  </w:numPicBullet>
  <w:abstractNum w:abstractNumId="0" w15:restartNumberingAfterBreak="0">
    <w:nsid w:val="032837A6"/>
    <w:multiLevelType w:val="hybridMultilevel"/>
    <w:tmpl w:val="069CF158"/>
    <w:lvl w:ilvl="0" w:tplc="86FAC30C">
      <w:start w:val="1"/>
      <w:numFmt w:val="bullet"/>
      <w:lvlText w:val=""/>
      <w:lvlJc w:val="left"/>
      <w:pPr>
        <w:ind w:left="720" w:hanging="360"/>
      </w:pPr>
      <w:rPr>
        <w:rFonts w:ascii="Wingdings" w:hAnsi="Wingding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A45CF"/>
    <w:multiLevelType w:val="hybridMultilevel"/>
    <w:tmpl w:val="730AC088"/>
    <w:lvl w:ilvl="0" w:tplc="1422DF5C">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AD12321"/>
    <w:multiLevelType w:val="hybridMultilevel"/>
    <w:tmpl w:val="E2BCFC0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2C2C52"/>
    <w:multiLevelType w:val="hybridMultilevel"/>
    <w:tmpl w:val="02DE46B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2F875BB"/>
    <w:multiLevelType w:val="hybridMultilevel"/>
    <w:tmpl w:val="B44C6D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B6BAF"/>
    <w:multiLevelType w:val="hybridMultilevel"/>
    <w:tmpl w:val="A7D40E46"/>
    <w:lvl w:ilvl="0" w:tplc="6C4C019C">
      <w:start w:val="1"/>
      <w:numFmt w:val="bullet"/>
      <w:lvlText w:val="-"/>
      <w:lvlJc w:val="left"/>
      <w:pPr>
        <w:ind w:left="720" w:hanging="360"/>
      </w:pPr>
      <w:rPr>
        <w:rFonts w:ascii="Verdana" w:hAnsi="Verdana"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1EEB6128"/>
    <w:multiLevelType w:val="hybridMultilevel"/>
    <w:tmpl w:val="08D2DE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A0EED"/>
    <w:multiLevelType w:val="hybridMultilevel"/>
    <w:tmpl w:val="BAEECA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B279F"/>
    <w:multiLevelType w:val="hybridMultilevel"/>
    <w:tmpl w:val="5F06B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A17D72"/>
    <w:multiLevelType w:val="hybridMultilevel"/>
    <w:tmpl w:val="9D0C692E"/>
    <w:lvl w:ilvl="0" w:tplc="C706C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D2DA0"/>
    <w:multiLevelType w:val="hybridMultilevel"/>
    <w:tmpl w:val="05D622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6E68CE"/>
    <w:multiLevelType w:val="hybridMultilevel"/>
    <w:tmpl w:val="6958B960"/>
    <w:lvl w:ilvl="0" w:tplc="041C000F">
      <w:start w:val="1"/>
      <w:numFmt w:val="decimal"/>
      <w:lvlText w:val="%1."/>
      <w:lvlJc w:val="left"/>
      <w:pPr>
        <w:ind w:left="502" w:hanging="360"/>
      </w:pPr>
      <w:rPr>
        <w:rFonts w:hint="default"/>
      </w:rPr>
    </w:lvl>
    <w:lvl w:ilvl="1" w:tplc="041C0019" w:tentative="1">
      <w:start w:val="1"/>
      <w:numFmt w:val="lowerLetter"/>
      <w:lvlText w:val="%2."/>
      <w:lvlJc w:val="left"/>
      <w:pPr>
        <w:ind w:left="1364" w:hanging="360"/>
      </w:pPr>
    </w:lvl>
    <w:lvl w:ilvl="2" w:tplc="041C001B" w:tentative="1">
      <w:start w:val="1"/>
      <w:numFmt w:val="lowerRoman"/>
      <w:lvlText w:val="%3."/>
      <w:lvlJc w:val="right"/>
      <w:pPr>
        <w:ind w:left="2084" w:hanging="180"/>
      </w:pPr>
    </w:lvl>
    <w:lvl w:ilvl="3" w:tplc="041C000F" w:tentative="1">
      <w:start w:val="1"/>
      <w:numFmt w:val="decimal"/>
      <w:lvlText w:val="%4."/>
      <w:lvlJc w:val="left"/>
      <w:pPr>
        <w:ind w:left="2804" w:hanging="360"/>
      </w:pPr>
    </w:lvl>
    <w:lvl w:ilvl="4" w:tplc="041C0019" w:tentative="1">
      <w:start w:val="1"/>
      <w:numFmt w:val="lowerLetter"/>
      <w:lvlText w:val="%5."/>
      <w:lvlJc w:val="left"/>
      <w:pPr>
        <w:ind w:left="3524" w:hanging="360"/>
      </w:pPr>
    </w:lvl>
    <w:lvl w:ilvl="5" w:tplc="041C001B" w:tentative="1">
      <w:start w:val="1"/>
      <w:numFmt w:val="lowerRoman"/>
      <w:lvlText w:val="%6."/>
      <w:lvlJc w:val="right"/>
      <w:pPr>
        <w:ind w:left="4244" w:hanging="180"/>
      </w:pPr>
    </w:lvl>
    <w:lvl w:ilvl="6" w:tplc="041C000F" w:tentative="1">
      <w:start w:val="1"/>
      <w:numFmt w:val="decimal"/>
      <w:lvlText w:val="%7."/>
      <w:lvlJc w:val="left"/>
      <w:pPr>
        <w:ind w:left="4964" w:hanging="360"/>
      </w:pPr>
    </w:lvl>
    <w:lvl w:ilvl="7" w:tplc="041C0019" w:tentative="1">
      <w:start w:val="1"/>
      <w:numFmt w:val="lowerLetter"/>
      <w:lvlText w:val="%8."/>
      <w:lvlJc w:val="left"/>
      <w:pPr>
        <w:ind w:left="5684" w:hanging="360"/>
      </w:pPr>
    </w:lvl>
    <w:lvl w:ilvl="8" w:tplc="041C001B" w:tentative="1">
      <w:start w:val="1"/>
      <w:numFmt w:val="lowerRoman"/>
      <w:lvlText w:val="%9."/>
      <w:lvlJc w:val="right"/>
      <w:pPr>
        <w:ind w:left="6404" w:hanging="180"/>
      </w:pPr>
    </w:lvl>
  </w:abstractNum>
  <w:abstractNum w:abstractNumId="12" w15:restartNumberingAfterBreak="0">
    <w:nsid w:val="2B244CE6"/>
    <w:multiLevelType w:val="hybridMultilevel"/>
    <w:tmpl w:val="3AF2C180"/>
    <w:lvl w:ilvl="0" w:tplc="0409000B">
      <w:start w:val="1"/>
      <w:numFmt w:val="bullet"/>
      <w:lvlText w:val=""/>
      <w:lvlJc w:val="left"/>
      <w:pPr>
        <w:ind w:left="720" w:hanging="360"/>
      </w:pPr>
      <w:rPr>
        <w:rFonts w:ascii="Wingdings" w:hAnsi="Wingding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8286D"/>
    <w:multiLevelType w:val="hybridMultilevel"/>
    <w:tmpl w:val="1CE86F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2251FF"/>
    <w:multiLevelType w:val="hybridMultilevel"/>
    <w:tmpl w:val="B3289D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E484E"/>
    <w:multiLevelType w:val="hybridMultilevel"/>
    <w:tmpl w:val="EAD6A9F4"/>
    <w:lvl w:ilvl="0" w:tplc="4ACCF836">
      <w:start w:val="2"/>
      <w:numFmt w:val="bullet"/>
      <w:lvlText w:val="-"/>
      <w:lvlJc w:val="left"/>
      <w:pPr>
        <w:ind w:left="644"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F5A3E46"/>
    <w:multiLevelType w:val="hybridMultilevel"/>
    <w:tmpl w:val="76F4CA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AB4174"/>
    <w:multiLevelType w:val="hybridMultilevel"/>
    <w:tmpl w:val="CDE08DA2"/>
    <w:lvl w:ilvl="0" w:tplc="A5BC86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BA5B51"/>
    <w:multiLevelType w:val="hybridMultilevel"/>
    <w:tmpl w:val="A6C8DD16"/>
    <w:lvl w:ilvl="0" w:tplc="22649FBE">
      <w:start w:val="1"/>
      <w:numFmt w:val="bullet"/>
      <w:lvlText w:val=""/>
      <w:lvlJc w:val="left"/>
      <w:pPr>
        <w:ind w:left="720" w:hanging="360"/>
      </w:pPr>
      <w:rPr>
        <w:rFonts w:ascii="Wingdings" w:hAnsi="Wingdings" w:hint="default"/>
        <w:b w:val="0"/>
        <w:color w:val="0D0D0D" w:themeColor="text1" w:themeTint="F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361130"/>
    <w:multiLevelType w:val="hybridMultilevel"/>
    <w:tmpl w:val="1BCE30B2"/>
    <w:lvl w:ilvl="0" w:tplc="9BD268B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9238A1"/>
    <w:multiLevelType w:val="hybridMultilevel"/>
    <w:tmpl w:val="37B205DE"/>
    <w:lvl w:ilvl="0" w:tplc="041C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E4A6D90"/>
    <w:multiLevelType w:val="hybridMultilevel"/>
    <w:tmpl w:val="B41E59F0"/>
    <w:lvl w:ilvl="0" w:tplc="E15078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B20F6"/>
    <w:multiLevelType w:val="hybridMultilevel"/>
    <w:tmpl w:val="8D6831A4"/>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 w15:restartNumberingAfterBreak="0">
    <w:nsid w:val="41CA25C2"/>
    <w:multiLevelType w:val="hybridMultilevel"/>
    <w:tmpl w:val="69BE2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1B3AE0"/>
    <w:multiLevelType w:val="hybridMultilevel"/>
    <w:tmpl w:val="8BF0ECB2"/>
    <w:lvl w:ilvl="0" w:tplc="8364001A">
      <w:start w:val="1"/>
      <w:numFmt w:val="decimal"/>
      <w:lvlText w:val="%1."/>
      <w:lvlJc w:val="left"/>
      <w:pPr>
        <w:ind w:left="720" w:hanging="360"/>
      </w:pPr>
      <w:rPr>
        <w:rFonts w:eastAsia="Batang" w:hint="default"/>
        <w:b/>
      </w:rPr>
    </w:lvl>
    <w:lvl w:ilvl="1" w:tplc="9B465E74">
      <w:numFmt w:val="bullet"/>
      <w:lvlText w:val="•"/>
      <w:lvlJc w:val="left"/>
      <w:pPr>
        <w:tabs>
          <w:tab w:val="num" w:pos="786"/>
        </w:tabs>
        <w:ind w:left="786" w:hanging="360"/>
      </w:pPr>
      <w:rPr>
        <w:rFonts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72410D"/>
    <w:multiLevelType w:val="hybridMultilevel"/>
    <w:tmpl w:val="AB4AAA3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F26A60"/>
    <w:multiLevelType w:val="hybridMultilevel"/>
    <w:tmpl w:val="461631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EA1552"/>
    <w:multiLevelType w:val="hybridMultilevel"/>
    <w:tmpl w:val="1AF6C7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760AA8"/>
    <w:multiLevelType w:val="hybridMultilevel"/>
    <w:tmpl w:val="83FE29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EE78C7"/>
    <w:multiLevelType w:val="hybridMultilevel"/>
    <w:tmpl w:val="57EED95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7C0E9B"/>
    <w:multiLevelType w:val="hybridMultilevel"/>
    <w:tmpl w:val="46FA71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5A7FBA"/>
    <w:multiLevelType w:val="hybridMultilevel"/>
    <w:tmpl w:val="AFA034D0"/>
    <w:lvl w:ilvl="0" w:tplc="D09EB9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D42261"/>
    <w:multiLevelType w:val="hybridMultilevel"/>
    <w:tmpl w:val="C3E6D780"/>
    <w:lvl w:ilvl="0" w:tplc="EF4E15E2">
      <w:start w:val="1"/>
      <w:numFmt w:val="decimal"/>
      <w:lvlText w:val="%1-"/>
      <w:lvlJc w:val="left"/>
      <w:pPr>
        <w:ind w:left="45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D3122C"/>
    <w:multiLevelType w:val="hybridMultilevel"/>
    <w:tmpl w:val="CA4A1B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8303B0"/>
    <w:multiLevelType w:val="hybridMultilevel"/>
    <w:tmpl w:val="8CB231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F80983"/>
    <w:multiLevelType w:val="hybridMultilevel"/>
    <w:tmpl w:val="3FDC3D4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4620C0"/>
    <w:multiLevelType w:val="hybridMultilevel"/>
    <w:tmpl w:val="75EA242E"/>
    <w:lvl w:ilvl="0" w:tplc="43F687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570BDE"/>
    <w:multiLevelType w:val="hybridMultilevel"/>
    <w:tmpl w:val="D4B6D27E"/>
    <w:lvl w:ilvl="0" w:tplc="655A8E40">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054E3"/>
    <w:multiLevelType w:val="hybridMultilevel"/>
    <w:tmpl w:val="81EA4F94"/>
    <w:lvl w:ilvl="0" w:tplc="04090007">
      <w:start w:val="1"/>
      <w:numFmt w:val="bullet"/>
      <w:lvlText w:val=""/>
      <w:lvlPicBulletId w:val="0"/>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3671404"/>
    <w:multiLevelType w:val="hybridMultilevel"/>
    <w:tmpl w:val="3CF4DD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901E43"/>
    <w:multiLevelType w:val="hybridMultilevel"/>
    <w:tmpl w:val="967CBEA6"/>
    <w:lvl w:ilvl="0" w:tplc="64741DEA">
      <w:start w:val="1"/>
      <w:numFmt w:val="bullet"/>
      <w:lvlText w:val=""/>
      <w:lvlJc w:val="left"/>
      <w:pPr>
        <w:ind w:left="360" w:hanging="360"/>
      </w:pPr>
      <w:rPr>
        <w:rFonts w:ascii="Wingdings" w:hAnsi="Wingdings" w:hint="default"/>
        <w:b w:val="0"/>
        <w:color w:val="0D0D0D" w:themeColor="text1" w:themeTint="F2"/>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CD548E"/>
    <w:multiLevelType w:val="hybridMultilevel"/>
    <w:tmpl w:val="4614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6045DF"/>
    <w:multiLevelType w:val="hybridMultilevel"/>
    <w:tmpl w:val="979CEB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092F4A"/>
    <w:multiLevelType w:val="hybridMultilevel"/>
    <w:tmpl w:val="B56EAD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7F25E1"/>
    <w:multiLevelType w:val="hybridMultilevel"/>
    <w:tmpl w:val="DF6CC61E"/>
    <w:lvl w:ilvl="0" w:tplc="80B05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4"/>
  </w:num>
  <w:num w:numId="3">
    <w:abstractNumId w:val="32"/>
  </w:num>
  <w:num w:numId="4">
    <w:abstractNumId w:val="20"/>
  </w:num>
  <w:num w:numId="5">
    <w:abstractNumId w:val="11"/>
  </w:num>
  <w:num w:numId="6">
    <w:abstractNumId w:val="1"/>
  </w:num>
  <w:num w:numId="7">
    <w:abstractNumId w:val="42"/>
  </w:num>
  <w:num w:numId="8">
    <w:abstractNumId w:val="5"/>
  </w:num>
  <w:num w:numId="9">
    <w:abstractNumId w:val="28"/>
  </w:num>
  <w:num w:numId="10">
    <w:abstractNumId w:val="44"/>
  </w:num>
  <w:num w:numId="11">
    <w:abstractNumId w:val="19"/>
  </w:num>
  <w:num w:numId="12">
    <w:abstractNumId w:val="23"/>
  </w:num>
  <w:num w:numId="13">
    <w:abstractNumId w:val="10"/>
  </w:num>
  <w:num w:numId="14">
    <w:abstractNumId w:val="3"/>
  </w:num>
  <w:num w:numId="15">
    <w:abstractNumId w:val="37"/>
  </w:num>
  <w:num w:numId="16">
    <w:abstractNumId w:val="30"/>
  </w:num>
  <w:num w:numId="17">
    <w:abstractNumId w:val="22"/>
  </w:num>
  <w:num w:numId="18">
    <w:abstractNumId w:val="43"/>
  </w:num>
  <w:num w:numId="19">
    <w:abstractNumId w:val="41"/>
  </w:num>
  <w:num w:numId="20">
    <w:abstractNumId w:val="21"/>
  </w:num>
  <w:num w:numId="21">
    <w:abstractNumId w:val="36"/>
  </w:num>
  <w:num w:numId="22">
    <w:abstractNumId w:val="0"/>
  </w:num>
  <w:num w:numId="23">
    <w:abstractNumId w:val="40"/>
  </w:num>
  <w:num w:numId="24">
    <w:abstractNumId w:val="18"/>
  </w:num>
  <w:num w:numId="25">
    <w:abstractNumId w:val="14"/>
  </w:num>
  <w:num w:numId="26">
    <w:abstractNumId w:val="15"/>
  </w:num>
  <w:num w:numId="27">
    <w:abstractNumId w:val="12"/>
  </w:num>
  <w:num w:numId="28">
    <w:abstractNumId w:val="8"/>
  </w:num>
  <w:num w:numId="29">
    <w:abstractNumId w:val="9"/>
  </w:num>
  <w:num w:numId="30">
    <w:abstractNumId w:val="13"/>
  </w:num>
  <w:num w:numId="31">
    <w:abstractNumId w:val="27"/>
  </w:num>
  <w:num w:numId="32">
    <w:abstractNumId w:val="16"/>
  </w:num>
  <w:num w:numId="33">
    <w:abstractNumId w:val="26"/>
  </w:num>
  <w:num w:numId="34">
    <w:abstractNumId w:val="4"/>
  </w:num>
  <w:num w:numId="35">
    <w:abstractNumId w:val="38"/>
  </w:num>
  <w:num w:numId="36">
    <w:abstractNumId w:val="33"/>
  </w:num>
  <w:num w:numId="37">
    <w:abstractNumId w:val="29"/>
  </w:num>
  <w:num w:numId="38">
    <w:abstractNumId w:val="35"/>
  </w:num>
  <w:num w:numId="39">
    <w:abstractNumId w:val="2"/>
  </w:num>
  <w:num w:numId="40">
    <w:abstractNumId w:val="25"/>
  </w:num>
  <w:num w:numId="41">
    <w:abstractNumId w:val="7"/>
  </w:num>
  <w:num w:numId="42">
    <w:abstractNumId w:val="39"/>
  </w:num>
  <w:num w:numId="43">
    <w:abstractNumId w:val="17"/>
  </w:num>
  <w:num w:numId="44">
    <w:abstractNumId w:val="6"/>
  </w:num>
  <w:num w:numId="45">
    <w:abstractNumId w:val="31"/>
  </w:num>
  <w:num w:numId="4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2D"/>
    <w:rsid w:val="00000F0F"/>
    <w:rsid w:val="00004B0D"/>
    <w:rsid w:val="00004B8D"/>
    <w:rsid w:val="00006A86"/>
    <w:rsid w:val="00014C4C"/>
    <w:rsid w:val="000151E0"/>
    <w:rsid w:val="0001728F"/>
    <w:rsid w:val="00020723"/>
    <w:rsid w:val="00025DE5"/>
    <w:rsid w:val="0003210C"/>
    <w:rsid w:val="00033CAB"/>
    <w:rsid w:val="00037310"/>
    <w:rsid w:val="0003789B"/>
    <w:rsid w:val="00040C85"/>
    <w:rsid w:val="00042D83"/>
    <w:rsid w:val="00043A2F"/>
    <w:rsid w:val="00051B79"/>
    <w:rsid w:val="000531B7"/>
    <w:rsid w:val="00054E38"/>
    <w:rsid w:val="00056231"/>
    <w:rsid w:val="00062445"/>
    <w:rsid w:val="00071662"/>
    <w:rsid w:val="000726C9"/>
    <w:rsid w:val="00075913"/>
    <w:rsid w:val="0008276B"/>
    <w:rsid w:val="0008356D"/>
    <w:rsid w:val="00084B97"/>
    <w:rsid w:val="0008679C"/>
    <w:rsid w:val="00090774"/>
    <w:rsid w:val="00090E89"/>
    <w:rsid w:val="00091C23"/>
    <w:rsid w:val="0009507E"/>
    <w:rsid w:val="000A1480"/>
    <w:rsid w:val="000B6843"/>
    <w:rsid w:val="000B78A2"/>
    <w:rsid w:val="000D005B"/>
    <w:rsid w:val="000D1016"/>
    <w:rsid w:val="000D6A9A"/>
    <w:rsid w:val="000D6F7C"/>
    <w:rsid w:val="000E3823"/>
    <w:rsid w:val="000E4452"/>
    <w:rsid w:val="000E4516"/>
    <w:rsid w:val="000F0577"/>
    <w:rsid w:val="000F2C7F"/>
    <w:rsid w:val="000F5EC4"/>
    <w:rsid w:val="000F67A8"/>
    <w:rsid w:val="000F708F"/>
    <w:rsid w:val="000F7C1E"/>
    <w:rsid w:val="001016B1"/>
    <w:rsid w:val="001038A8"/>
    <w:rsid w:val="00103D5B"/>
    <w:rsid w:val="001041C7"/>
    <w:rsid w:val="00106A73"/>
    <w:rsid w:val="00106CA5"/>
    <w:rsid w:val="00110193"/>
    <w:rsid w:val="001121FF"/>
    <w:rsid w:val="001133CC"/>
    <w:rsid w:val="00113766"/>
    <w:rsid w:val="001150AF"/>
    <w:rsid w:val="00116138"/>
    <w:rsid w:val="001164B2"/>
    <w:rsid w:val="00116929"/>
    <w:rsid w:val="00121A75"/>
    <w:rsid w:val="001237AF"/>
    <w:rsid w:val="001277D3"/>
    <w:rsid w:val="0013264C"/>
    <w:rsid w:val="00133FBE"/>
    <w:rsid w:val="0014151B"/>
    <w:rsid w:val="00142DA4"/>
    <w:rsid w:val="00144A3E"/>
    <w:rsid w:val="00144A44"/>
    <w:rsid w:val="00145E50"/>
    <w:rsid w:val="001511AE"/>
    <w:rsid w:val="001517FC"/>
    <w:rsid w:val="00153F45"/>
    <w:rsid w:val="001553F2"/>
    <w:rsid w:val="00156666"/>
    <w:rsid w:val="00156B2A"/>
    <w:rsid w:val="00166F71"/>
    <w:rsid w:val="00167DF4"/>
    <w:rsid w:val="001720A5"/>
    <w:rsid w:val="00172348"/>
    <w:rsid w:val="00172FD6"/>
    <w:rsid w:val="00175EF3"/>
    <w:rsid w:val="00175F75"/>
    <w:rsid w:val="00177F2A"/>
    <w:rsid w:val="00180FD0"/>
    <w:rsid w:val="001864E4"/>
    <w:rsid w:val="00186598"/>
    <w:rsid w:val="00186993"/>
    <w:rsid w:val="00190373"/>
    <w:rsid w:val="001963B9"/>
    <w:rsid w:val="001A0934"/>
    <w:rsid w:val="001A46F6"/>
    <w:rsid w:val="001A5D5A"/>
    <w:rsid w:val="001A6E30"/>
    <w:rsid w:val="001B183B"/>
    <w:rsid w:val="001B3B9C"/>
    <w:rsid w:val="001B4FF0"/>
    <w:rsid w:val="001B50E5"/>
    <w:rsid w:val="001B603E"/>
    <w:rsid w:val="001C0D0B"/>
    <w:rsid w:val="001C0E0A"/>
    <w:rsid w:val="001C2EE3"/>
    <w:rsid w:val="001C324F"/>
    <w:rsid w:val="001C3348"/>
    <w:rsid w:val="001C3ACF"/>
    <w:rsid w:val="001C6699"/>
    <w:rsid w:val="001C76F8"/>
    <w:rsid w:val="001D0241"/>
    <w:rsid w:val="001D3EED"/>
    <w:rsid w:val="001D40C0"/>
    <w:rsid w:val="001D5346"/>
    <w:rsid w:val="001D6BB1"/>
    <w:rsid w:val="001D6C97"/>
    <w:rsid w:val="001E2938"/>
    <w:rsid w:val="001E29F1"/>
    <w:rsid w:val="001E3993"/>
    <w:rsid w:val="001E432C"/>
    <w:rsid w:val="001E43FA"/>
    <w:rsid w:val="001E50D2"/>
    <w:rsid w:val="001E62B6"/>
    <w:rsid w:val="001E7A2B"/>
    <w:rsid w:val="001E7E59"/>
    <w:rsid w:val="001F2826"/>
    <w:rsid w:val="001F2A99"/>
    <w:rsid w:val="001F3088"/>
    <w:rsid w:val="001F689D"/>
    <w:rsid w:val="002053C0"/>
    <w:rsid w:val="00206491"/>
    <w:rsid w:val="00207B11"/>
    <w:rsid w:val="00210078"/>
    <w:rsid w:val="0021561C"/>
    <w:rsid w:val="0021757D"/>
    <w:rsid w:val="00221860"/>
    <w:rsid w:val="00225F82"/>
    <w:rsid w:val="002302D9"/>
    <w:rsid w:val="002307E7"/>
    <w:rsid w:val="0023101E"/>
    <w:rsid w:val="00232C93"/>
    <w:rsid w:val="002335A0"/>
    <w:rsid w:val="0023380F"/>
    <w:rsid w:val="002355F6"/>
    <w:rsid w:val="00235F36"/>
    <w:rsid w:val="002413A7"/>
    <w:rsid w:val="00242270"/>
    <w:rsid w:val="00242F25"/>
    <w:rsid w:val="00243728"/>
    <w:rsid w:val="002439E0"/>
    <w:rsid w:val="00244377"/>
    <w:rsid w:val="002444C4"/>
    <w:rsid w:val="00246061"/>
    <w:rsid w:val="00252E85"/>
    <w:rsid w:val="002623A8"/>
    <w:rsid w:val="002631A5"/>
    <w:rsid w:val="0026330C"/>
    <w:rsid w:val="00264575"/>
    <w:rsid w:val="002651B7"/>
    <w:rsid w:val="00270784"/>
    <w:rsid w:val="0027224C"/>
    <w:rsid w:val="002723A7"/>
    <w:rsid w:val="0027242A"/>
    <w:rsid w:val="002733CC"/>
    <w:rsid w:val="002752D4"/>
    <w:rsid w:val="00276C7D"/>
    <w:rsid w:val="00277513"/>
    <w:rsid w:val="00280E39"/>
    <w:rsid w:val="002816AD"/>
    <w:rsid w:val="00282CC7"/>
    <w:rsid w:val="00291B97"/>
    <w:rsid w:val="00293788"/>
    <w:rsid w:val="0029547A"/>
    <w:rsid w:val="0029582B"/>
    <w:rsid w:val="002A0F80"/>
    <w:rsid w:val="002A2E6A"/>
    <w:rsid w:val="002A3745"/>
    <w:rsid w:val="002A3BD9"/>
    <w:rsid w:val="002A3C97"/>
    <w:rsid w:val="002A3E4B"/>
    <w:rsid w:val="002A469E"/>
    <w:rsid w:val="002A57A7"/>
    <w:rsid w:val="002A7B9F"/>
    <w:rsid w:val="002B325B"/>
    <w:rsid w:val="002B5C23"/>
    <w:rsid w:val="002B76D2"/>
    <w:rsid w:val="002B7965"/>
    <w:rsid w:val="002C359A"/>
    <w:rsid w:val="002C3FD3"/>
    <w:rsid w:val="002C4ED1"/>
    <w:rsid w:val="002D1EA9"/>
    <w:rsid w:val="002D5608"/>
    <w:rsid w:val="002D6B4D"/>
    <w:rsid w:val="002D7683"/>
    <w:rsid w:val="002E6E1D"/>
    <w:rsid w:val="002E7AFA"/>
    <w:rsid w:val="002E7F4E"/>
    <w:rsid w:val="002F20E2"/>
    <w:rsid w:val="002F2736"/>
    <w:rsid w:val="002F53B8"/>
    <w:rsid w:val="002F7CB0"/>
    <w:rsid w:val="003002F4"/>
    <w:rsid w:val="00310570"/>
    <w:rsid w:val="00311045"/>
    <w:rsid w:val="00313ADB"/>
    <w:rsid w:val="00320203"/>
    <w:rsid w:val="00321213"/>
    <w:rsid w:val="00321271"/>
    <w:rsid w:val="00321FF4"/>
    <w:rsid w:val="003262F0"/>
    <w:rsid w:val="003318E3"/>
    <w:rsid w:val="00337CE3"/>
    <w:rsid w:val="00341CCD"/>
    <w:rsid w:val="00342679"/>
    <w:rsid w:val="003433CE"/>
    <w:rsid w:val="00345F47"/>
    <w:rsid w:val="003467D1"/>
    <w:rsid w:val="00354020"/>
    <w:rsid w:val="00355F8A"/>
    <w:rsid w:val="00356762"/>
    <w:rsid w:val="003575F7"/>
    <w:rsid w:val="00357E39"/>
    <w:rsid w:val="00363931"/>
    <w:rsid w:val="00363F52"/>
    <w:rsid w:val="00364C8D"/>
    <w:rsid w:val="003651E2"/>
    <w:rsid w:val="003672D8"/>
    <w:rsid w:val="00373F7F"/>
    <w:rsid w:val="00381869"/>
    <w:rsid w:val="00382535"/>
    <w:rsid w:val="00385F1D"/>
    <w:rsid w:val="0039319D"/>
    <w:rsid w:val="0039541B"/>
    <w:rsid w:val="00397223"/>
    <w:rsid w:val="003A0AA8"/>
    <w:rsid w:val="003A22F6"/>
    <w:rsid w:val="003A2761"/>
    <w:rsid w:val="003A33F8"/>
    <w:rsid w:val="003A4554"/>
    <w:rsid w:val="003A45B2"/>
    <w:rsid w:val="003A5DE9"/>
    <w:rsid w:val="003B3367"/>
    <w:rsid w:val="003B469F"/>
    <w:rsid w:val="003C3A7D"/>
    <w:rsid w:val="003C4982"/>
    <w:rsid w:val="003C7482"/>
    <w:rsid w:val="003D1B50"/>
    <w:rsid w:val="003D1FBB"/>
    <w:rsid w:val="003D27D2"/>
    <w:rsid w:val="003E0642"/>
    <w:rsid w:val="003E090F"/>
    <w:rsid w:val="003E1305"/>
    <w:rsid w:val="003E1CF4"/>
    <w:rsid w:val="003E1FC1"/>
    <w:rsid w:val="003E22B5"/>
    <w:rsid w:val="003E2368"/>
    <w:rsid w:val="003E3CAB"/>
    <w:rsid w:val="003F0960"/>
    <w:rsid w:val="003F2259"/>
    <w:rsid w:val="003F3456"/>
    <w:rsid w:val="003F6577"/>
    <w:rsid w:val="003F69B0"/>
    <w:rsid w:val="004001A5"/>
    <w:rsid w:val="00401FB3"/>
    <w:rsid w:val="004065F0"/>
    <w:rsid w:val="00413EDB"/>
    <w:rsid w:val="004203F0"/>
    <w:rsid w:val="00430C5A"/>
    <w:rsid w:val="004329D1"/>
    <w:rsid w:val="00434D7E"/>
    <w:rsid w:val="0043552A"/>
    <w:rsid w:val="00436C33"/>
    <w:rsid w:val="00440583"/>
    <w:rsid w:val="00441F14"/>
    <w:rsid w:val="0044208F"/>
    <w:rsid w:val="00444A64"/>
    <w:rsid w:val="00447A3C"/>
    <w:rsid w:val="0045389E"/>
    <w:rsid w:val="0045419C"/>
    <w:rsid w:val="004543DF"/>
    <w:rsid w:val="00454656"/>
    <w:rsid w:val="00454F5B"/>
    <w:rsid w:val="00456A4C"/>
    <w:rsid w:val="00462B73"/>
    <w:rsid w:val="00465D85"/>
    <w:rsid w:val="0046632E"/>
    <w:rsid w:val="004732BD"/>
    <w:rsid w:val="00475B8F"/>
    <w:rsid w:val="004800D7"/>
    <w:rsid w:val="00480412"/>
    <w:rsid w:val="0048228C"/>
    <w:rsid w:val="00482ECE"/>
    <w:rsid w:val="00485746"/>
    <w:rsid w:val="00487726"/>
    <w:rsid w:val="00487D8D"/>
    <w:rsid w:val="00490279"/>
    <w:rsid w:val="00490452"/>
    <w:rsid w:val="00491821"/>
    <w:rsid w:val="004919E8"/>
    <w:rsid w:val="0049562C"/>
    <w:rsid w:val="00495D66"/>
    <w:rsid w:val="00497A5C"/>
    <w:rsid w:val="004A1A46"/>
    <w:rsid w:val="004A1B74"/>
    <w:rsid w:val="004A7BBA"/>
    <w:rsid w:val="004B1AAE"/>
    <w:rsid w:val="004B32B7"/>
    <w:rsid w:val="004B3AC9"/>
    <w:rsid w:val="004C1BA7"/>
    <w:rsid w:val="004C7568"/>
    <w:rsid w:val="004D0754"/>
    <w:rsid w:val="004D1682"/>
    <w:rsid w:val="004D2095"/>
    <w:rsid w:val="004D7CC9"/>
    <w:rsid w:val="004E22B9"/>
    <w:rsid w:val="004E4740"/>
    <w:rsid w:val="004E56B2"/>
    <w:rsid w:val="004E5A1C"/>
    <w:rsid w:val="004F47A6"/>
    <w:rsid w:val="004F5BF7"/>
    <w:rsid w:val="004F5EBD"/>
    <w:rsid w:val="004F6429"/>
    <w:rsid w:val="005010E7"/>
    <w:rsid w:val="00501829"/>
    <w:rsid w:val="0050708D"/>
    <w:rsid w:val="0050721B"/>
    <w:rsid w:val="0051013C"/>
    <w:rsid w:val="00510CA8"/>
    <w:rsid w:val="00511183"/>
    <w:rsid w:val="0051156C"/>
    <w:rsid w:val="005154EF"/>
    <w:rsid w:val="005160E2"/>
    <w:rsid w:val="00516663"/>
    <w:rsid w:val="0052323A"/>
    <w:rsid w:val="0052360C"/>
    <w:rsid w:val="00524DC6"/>
    <w:rsid w:val="00525849"/>
    <w:rsid w:val="00526647"/>
    <w:rsid w:val="00532310"/>
    <w:rsid w:val="00532FD6"/>
    <w:rsid w:val="0053465F"/>
    <w:rsid w:val="005347A8"/>
    <w:rsid w:val="00535B32"/>
    <w:rsid w:val="00536A9F"/>
    <w:rsid w:val="00536C27"/>
    <w:rsid w:val="00536D6A"/>
    <w:rsid w:val="00545CA9"/>
    <w:rsid w:val="0054636E"/>
    <w:rsid w:val="005468A6"/>
    <w:rsid w:val="005508D8"/>
    <w:rsid w:val="00552FDD"/>
    <w:rsid w:val="005531B1"/>
    <w:rsid w:val="005537C8"/>
    <w:rsid w:val="00554536"/>
    <w:rsid w:val="00554F54"/>
    <w:rsid w:val="00556C7D"/>
    <w:rsid w:val="00556F85"/>
    <w:rsid w:val="0055748C"/>
    <w:rsid w:val="00557647"/>
    <w:rsid w:val="00560291"/>
    <w:rsid w:val="00562AA7"/>
    <w:rsid w:val="00563422"/>
    <w:rsid w:val="00565E32"/>
    <w:rsid w:val="00571002"/>
    <w:rsid w:val="005725F0"/>
    <w:rsid w:val="00575816"/>
    <w:rsid w:val="00575A8E"/>
    <w:rsid w:val="005814B3"/>
    <w:rsid w:val="0058292B"/>
    <w:rsid w:val="00583CF8"/>
    <w:rsid w:val="005877A2"/>
    <w:rsid w:val="005917D3"/>
    <w:rsid w:val="005922FF"/>
    <w:rsid w:val="00594E25"/>
    <w:rsid w:val="00594F2D"/>
    <w:rsid w:val="005959AD"/>
    <w:rsid w:val="005A2E96"/>
    <w:rsid w:val="005A6879"/>
    <w:rsid w:val="005B1C04"/>
    <w:rsid w:val="005B2398"/>
    <w:rsid w:val="005B3A4B"/>
    <w:rsid w:val="005C0C42"/>
    <w:rsid w:val="005C6C4D"/>
    <w:rsid w:val="005D22D9"/>
    <w:rsid w:val="005E1C52"/>
    <w:rsid w:val="005E40EF"/>
    <w:rsid w:val="005E4942"/>
    <w:rsid w:val="005F0964"/>
    <w:rsid w:val="005F0A7B"/>
    <w:rsid w:val="005F0BD7"/>
    <w:rsid w:val="005F0FC1"/>
    <w:rsid w:val="005F2CE4"/>
    <w:rsid w:val="006041D2"/>
    <w:rsid w:val="006045BF"/>
    <w:rsid w:val="00605778"/>
    <w:rsid w:val="00613520"/>
    <w:rsid w:val="00620864"/>
    <w:rsid w:val="006249F7"/>
    <w:rsid w:val="00625D08"/>
    <w:rsid w:val="00625EAB"/>
    <w:rsid w:val="006324AE"/>
    <w:rsid w:val="006350B9"/>
    <w:rsid w:val="00640CE0"/>
    <w:rsid w:val="00647B92"/>
    <w:rsid w:val="00651741"/>
    <w:rsid w:val="00652E8D"/>
    <w:rsid w:val="0065380F"/>
    <w:rsid w:val="00653E9C"/>
    <w:rsid w:val="006546E8"/>
    <w:rsid w:val="006560A0"/>
    <w:rsid w:val="006566C8"/>
    <w:rsid w:val="00657107"/>
    <w:rsid w:val="00661A9B"/>
    <w:rsid w:val="00662C70"/>
    <w:rsid w:val="0066303F"/>
    <w:rsid w:val="00663DBC"/>
    <w:rsid w:val="00665FC2"/>
    <w:rsid w:val="006668AF"/>
    <w:rsid w:val="00667B75"/>
    <w:rsid w:val="00667EF5"/>
    <w:rsid w:val="00674AC5"/>
    <w:rsid w:val="006760C0"/>
    <w:rsid w:val="00676B75"/>
    <w:rsid w:val="0068030E"/>
    <w:rsid w:val="00681900"/>
    <w:rsid w:val="00683F25"/>
    <w:rsid w:val="00697983"/>
    <w:rsid w:val="006A0A02"/>
    <w:rsid w:val="006A204E"/>
    <w:rsid w:val="006A2BAB"/>
    <w:rsid w:val="006A4608"/>
    <w:rsid w:val="006A75FB"/>
    <w:rsid w:val="006B05A4"/>
    <w:rsid w:val="006B1688"/>
    <w:rsid w:val="006B43FE"/>
    <w:rsid w:val="006B4975"/>
    <w:rsid w:val="006C1A25"/>
    <w:rsid w:val="006C3F65"/>
    <w:rsid w:val="006C4787"/>
    <w:rsid w:val="006C5ED0"/>
    <w:rsid w:val="006C732A"/>
    <w:rsid w:val="006C7603"/>
    <w:rsid w:val="006D0013"/>
    <w:rsid w:val="006D14FC"/>
    <w:rsid w:val="006D29A1"/>
    <w:rsid w:val="006D4943"/>
    <w:rsid w:val="006D656C"/>
    <w:rsid w:val="006D77C1"/>
    <w:rsid w:val="006E1BFB"/>
    <w:rsid w:val="006E2846"/>
    <w:rsid w:val="006E28BF"/>
    <w:rsid w:val="006E43BC"/>
    <w:rsid w:val="006E6E9E"/>
    <w:rsid w:val="006F2A57"/>
    <w:rsid w:val="006F5402"/>
    <w:rsid w:val="006F562A"/>
    <w:rsid w:val="006F726C"/>
    <w:rsid w:val="00704FD0"/>
    <w:rsid w:val="00706405"/>
    <w:rsid w:val="00712FEF"/>
    <w:rsid w:val="00715654"/>
    <w:rsid w:val="00717282"/>
    <w:rsid w:val="007203F1"/>
    <w:rsid w:val="0073050B"/>
    <w:rsid w:val="00742054"/>
    <w:rsid w:val="00742AFC"/>
    <w:rsid w:val="0074505B"/>
    <w:rsid w:val="007459DB"/>
    <w:rsid w:val="00745D43"/>
    <w:rsid w:val="007540EE"/>
    <w:rsid w:val="00754285"/>
    <w:rsid w:val="007578F5"/>
    <w:rsid w:val="00762000"/>
    <w:rsid w:val="007629A2"/>
    <w:rsid w:val="007648BC"/>
    <w:rsid w:val="007671CE"/>
    <w:rsid w:val="0077481A"/>
    <w:rsid w:val="007757C8"/>
    <w:rsid w:val="00775DFA"/>
    <w:rsid w:val="0077621E"/>
    <w:rsid w:val="00782FDE"/>
    <w:rsid w:val="00785604"/>
    <w:rsid w:val="00786711"/>
    <w:rsid w:val="0078754E"/>
    <w:rsid w:val="007879EC"/>
    <w:rsid w:val="00790091"/>
    <w:rsid w:val="00793E8F"/>
    <w:rsid w:val="0079764C"/>
    <w:rsid w:val="007979B3"/>
    <w:rsid w:val="007979E7"/>
    <w:rsid w:val="007A04DB"/>
    <w:rsid w:val="007A31D4"/>
    <w:rsid w:val="007A4279"/>
    <w:rsid w:val="007A5851"/>
    <w:rsid w:val="007B16CC"/>
    <w:rsid w:val="007B18E5"/>
    <w:rsid w:val="007B198B"/>
    <w:rsid w:val="007B261E"/>
    <w:rsid w:val="007C0818"/>
    <w:rsid w:val="007C417D"/>
    <w:rsid w:val="007C4AEB"/>
    <w:rsid w:val="007D177F"/>
    <w:rsid w:val="007D4692"/>
    <w:rsid w:val="007D66B3"/>
    <w:rsid w:val="007D7596"/>
    <w:rsid w:val="007D7DF9"/>
    <w:rsid w:val="007E06B8"/>
    <w:rsid w:val="007E1BBE"/>
    <w:rsid w:val="007E5E8C"/>
    <w:rsid w:val="007F1337"/>
    <w:rsid w:val="007F44D7"/>
    <w:rsid w:val="007F4B40"/>
    <w:rsid w:val="007F66DE"/>
    <w:rsid w:val="007F68ED"/>
    <w:rsid w:val="007F7ECE"/>
    <w:rsid w:val="008003A3"/>
    <w:rsid w:val="00800E54"/>
    <w:rsid w:val="00800EDE"/>
    <w:rsid w:val="008011E5"/>
    <w:rsid w:val="008017B4"/>
    <w:rsid w:val="00802A50"/>
    <w:rsid w:val="00802A90"/>
    <w:rsid w:val="00803AB1"/>
    <w:rsid w:val="008109FA"/>
    <w:rsid w:val="008111B8"/>
    <w:rsid w:val="0081143B"/>
    <w:rsid w:val="008139B2"/>
    <w:rsid w:val="00816162"/>
    <w:rsid w:val="00817046"/>
    <w:rsid w:val="0082023B"/>
    <w:rsid w:val="008206B1"/>
    <w:rsid w:val="008233D2"/>
    <w:rsid w:val="0082582B"/>
    <w:rsid w:val="00826FEC"/>
    <w:rsid w:val="00833A91"/>
    <w:rsid w:val="00836181"/>
    <w:rsid w:val="00836746"/>
    <w:rsid w:val="00837383"/>
    <w:rsid w:val="0084017A"/>
    <w:rsid w:val="00840619"/>
    <w:rsid w:val="00842002"/>
    <w:rsid w:val="00847462"/>
    <w:rsid w:val="00854A88"/>
    <w:rsid w:val="0085638A"/>
    <w:rsid w:val="00861E98"/>
    <w:rsid w:val="008629BB"/>
    <w:rsid w:val="008637BE"/>
    <w:rsid w:val="0086445A"/>
    <w:rsid w:val="00864C93"/>
    <w:rsid w:val="00864D7E"/>
    <w:rsid w:val="008663E7"/>
    <w:rsid w:val="00866C61"/>
    <w:rsid w:val="00867200"/>
    <w:rsid w:val="00867EA7"/>
    <w:rsid w:val="0087092E"/>
    <w:rsid w:val="00872858"/>
    <w:rsid w:val="00873544"/>
    <w:rsid w:val="00875364"/>
    <w:rsid w:val="0087735F"/>
    <w:rsid w:val="008776B5"/>
    <w:rsid w:val="008802D5"/>
    <w:rsid w:val="008813F8"/>
    <w:rsid w:val="00882710"/>
    <w:rsid w:val="00883F19"/>
    <w:rsid w:val="00885644"/>
    <w:rsid w:val="00885ACA"/>
    <w:rsid w:val="008872CC"/>
    <w:rsid w:val="00890F90"/>
    <w:rsid w:val="00891C9E"/>
    <w:rsid w:val="00891D1A"/>
    <w:rsid w:val="00893D1F"/>
    <w:rsid w:val="00894878"/>
    <w:rsid w:val="00894ECD"/>
    <w:rsid w:val="0089631C"/>
    <w:rsid w:val="00896C32"/>
    <w:rsid w:val="008A3C94"/>
    <w:rsid w:val="008A4A6C"/>
    <w:rsid w:val="008B50B1"/>
    <w:rsid w:val="008B5BA4"/>
    <w:rsid w:val="008B69C4"/>
    <w:rsid w:val="008B70D5"/>
    <w:rsid w:val="008C1D0F"/>
    <w:rsid w:val="008C1D74"/>
    <w:rsid w:val="008C1FBE"/>
    <w:rsid w:val="008C2B55"/>
    <w:rsid w:val="008C324B"/>
    <w:rsid w:val="008D09E8"/>
    <w:rsid w:val="008D1D46"/>
    <w:rsid w:val="008E2513"/>
    <w:rsid w:val="008E600B"/>
    <w:rsid w:val="008E6199"/>
    <w:rsid w:val="008E6528"/>
    <w:rsid w:val="008F0047"/>
    <w:rsid w:val="008F2362"/>
    <w:rsid w:val="008F241F"/>
    <w:rsid w:val="008F5D98"/>
    <w:rsid w:val="008F6220"/>
    <w:rsid w:val="008F6A46"/>
    <w:rsid w:val="009013CB"/>
    <w:rsid w:val="00905952"/>
    <w:rsid w:val="009079DB"/>
    <w:rsid w:val="00911613"/>
    <w:rsid w:val="00911725"/>
    <w:rsid w:val="00911DAE"/>
    <w:rsid w:val="00912C37"/>
    <w:rsid w:val="00912D44"/>
    <w:rsid w:val="009150BD"/>
    <w:rsid w:val="00915D87"/>
    <w:rsid w:val="009164DF"/>
    <w:rsid w:val="00916E6D"/>
    <w:rsid w:val="00922FF8"/>
    <w:rsid w:val="00923364"/>
    <w:rsid w:val="0092613A"/>
    <w:rsid w:val="009332BA"/>
    <w:rsid w:val="0093442E"/>
    <w:rsid w:val="0093545A"/>
    <w:rsid w:val="00935BA2"/>
    <w:rsid w:val="00935C0A"/>
    <w:rsid w:val="00936336"/>
    <w:rsid w:val="00937188"/>
    <w:rsid w:val="00937D46"/>
    <w:rsid w:val="009418FB"/>
    <w:rsid w:val="0094376D"/>
    <w:rsid w:val="00946F38"/>
    <w:rsid w:val="009477E1"/>
    <w:rsid w:val="009518B7"/>
    <w:rsid w:val="00952853"/>
    <w:rsid w:val="00955B79"/>
    <w:rsid w:val="0096029B"/>
    <w:rsid w:val="00961B6C"/>
    <w:rsid w:val="00963CA0"/>
    <w:rsid w:val="00964DE4"/>
    <w:rsid w:val="00970FF1"/>
    <w:rsid w:val="00972864"/>
    <w:rsid w:val="00977069"/>
    <w:rsid w:val="00981A9A"/>
    <w:rsid w:val="009830F6"/>
    <w:rsid w:val="00986A71"/>
    <w:rsid w:val="00995145"/>
    <w:rsid w:val="00995F3A"/>
    <w:rsid w:val="009A1190"/>
    <w:rsid w:val="009A2208"/>
    <w:rsid w:val="009A2F8D"/>
    <w:rsid w:val="009A3375"/>
    <w:rsid w:val="009A3395"/>
    <w:rsid w:val="009A6601"/>
    <w:rsid w:val="009B0295"/>
    <w:rsid w:val="009B090F"/>
    <w:rsid w:val="009B382B"/>
    <w:rsid w:val="009C4225"/>
    <w:rsid w:val="009C7864"/>
    <w:rsid w:val="009D2927"/>
    <w:rsid w:val="009D7775"/>
    <w:rsid w:val="009E16CB"/>
    <w:rsid w:val="009E3868"/>
    <w:rsid w:val="009E5D4B"/>
    <w:rsid w:val="009F04F1"/>
    <w:rsid w:val="009F0D96"/>
    <w:rsid w:val="009F12AD"/>
    <w:rsid w:val="009F611F"/>
    <w:rsid w:val="009F67BD"/>
    <w:rsid w:val="009F7E26"/>
    <w:rsid w:val="00A007EF"/>
    <w:rsid w:val="00A017C8"/>
    <w:rsid w:val="00A020F4"/>
    <w:rsid w:val="00A026DB"/>
    <w:rsid w:val="00A039B4"/>
    <w:rsid w:val="00A03AE0"/>
    <w:rsid w:val="00A055D3"/>
    <w:rsid w:val="00A10EC5"/>
    <w:rsid w:val="00A13481"/>
    <w:rsid w:val="00A15680"/>
    <w:rsid w:val="00A15A57"/>
    <w:rsid w:val="00A172A0"/>
    <w:rsid w:val="00A17DDB"/>
    <w:rsid w:val="00A204CC"/>
    <w:rsid w:val="00A213D5"/>
    <w:rsid w:val="00A21D52"/>
    <w:rsid w:val="00A24498"/>
    <w:rsid w:val="00A312BA"/>
    <w:rsid w:val="00A31D41"/>
    <w:rsid w:val="00A323F0"/>
    <w:rsid w:val="00A33014"/>
    <w:rsid w:val="00A333B7"/>
    <w:rsid w:val="00A35B40"/>
    <w:rsid w:val="00A363AB"/>
    <w:rsid w:val="00A37590"/>
    <w:rsid w:val="00A37CA9"/>
    <w:rsid w:val="00A403F9"/>
    <w:rsid w:val="00A431C7"/>
    <w:rsid w:val="00A4360A"/>
    <w:rsid w:val="00A448AE"/>
    <w:rsid w:val="00A453FF"/>
    <w:rsid w:val="00A56658"/>
    <w:rsid w:val="00A60909"/>
    <w:rsid w:val="00A62F9D"/>
    <w:rsid w:val="00A634A1"/>
    <w:rsid w:val="00A661DA"/>
    <w:rsid w:val="00A674BF"/>
    <w:rsid w:val="00A708BD"/>
    <w:rsid w:val="00A71770"/>
    <w:rsid w:val="00A71883"/>
    <w:rsid w:val="00A726A7"/>
    <w:rsid w:val="00A74D13"/>
    <w:rsid w:val="00A77959"/>
    <w:rsid w:val="00A80E26"/>
    <w:rsid w:val="00A80E76"/>
    <w:rsid w:val="00A825DA"/>
    <w:rsid w:val="00A82827"/>
    <w:rsid w:val="00A82ABC"/>
    <w:rsid w:val="00A86EA9"/>
    <w:rsid w:val="00A90A1F"/>
    <w:rsid w:val="00A951C8"/>
    <w:rsid w:val="00AA1988"/>
    <w:rsid w:val="00AA34BA"/>
    <w:rsid w:val="00AA702F"/>
    <w:rsid w:val="00AA711C"/>
    <w:rsid w:val="00AA7B1E"/>
    <w:rsid w:val="00AA7CDD"/>
    <w:rsid w:val="00AB11E7"/>
    <w:rsid w:val="00AB2F2C"/>
    <w:rsid w:val="00AB3451"/>
    <w:rsid w:val="00AB3FCB"/>
    <w:rsid w:val="00AB5728"/>
    <w:rsid w:val="00AC3678"/>
    <w:rsid w:val="00AC4627"/>
    <w:rsid w:val="00AD07EF"/>
    <w:rsid w:val="00AD69F3"/>
    <w:rsid w:val="00AD6A73"/>
    <w:rsid w:val="00AD6F43"/>
    <w:rsid w:val="00AE04B4"/>
    <w:rsid w:val="00AE3A52"/>
    <w:rsid w:val="00AE3AA6"/>
    <w:rsid w:val="00AE3B84"/>
    <w:rsid w:val="00AE5E00"/>
    <w:rsid w:val="00AE7AB8"/>
    <w:rsid w:val="00AE7FED"/>
    <w:rsid w:val="00AF5BBC"/>
    <w:rsid w:val="00AF72DA"/>
    <w:rsid w:val="00AF7E54"/>
    <w:rsid w:val="00B01A16"/>
    <w:rsid w:val="00B06702"/>
    <w:rsid w:val="00B151C3"/>
    <w:rsid w:val="00B151F5"/>
    <w:rsid w:val="00B16CC6"/>
    <w:rsid w:val="00B17F73"/>
    <w:rsid w:val="00B23374"/>
    <w:rsid w:val="00B23928"/>
    <w:rsid w:val="00B242EA"/>
    <w:rsid w:val="00B249F5"/>
    <w:rsid w:val="00B3224A"/>
    <w:rsid w:val="00B322CC"/>
    <w:rsid w:val="00B3436C"/>
    <w:rsid w:val="00B34D24"/>
    <w:rsid w:val="00B36303"/>
    <w:rsid w:val="00B36B4B"/>
    <w:rsid w:val="00B41105"/>
    <w:rsid w:val="00B434FF"/>
    <w:rsid w:val="00B45BDE"/>
    <w:rsid w:val="00B4607D"/>
    <w:rsid w:val="00B46BCF"/>
    <w:rsid w:val="00B519D0"/>
    <w:rsid w:val="00B538F4"/>
    <w:rsid w:val="00B55C53"/>
    <w:rsid w:val="00B6049A"/>
    <w:rsid w:val="00B62405"/>
    <w:rsid w:val="00B63AC7"/>
    <w:rsid w:val="00B67628"/>
    <w:rsid w:val="00B70117"/>
    <w:rsid w:val="00B71E18"/>
    <w:rsid w:val="00B720E4"/>
    <w:rsid w:val="00B720FA"/>
    <w:rsid w:val="00B766F8"/>
    <w:rsid w:val="00B77E89"/>
    <w:rsid w:val="00B80D34"/>
    <w:rsid w:val="00B81AEF"/>
    <w:rsid w:val="00B82F64"/>
    <w:rsid w:val="00B85D2E"/>
    <w:rsid w:val="00B902A6"/>
    <w:rsid w:val="00B92571"/>
    <w:rsid w:val="00B9634F"/>
    <w:rsid w:val="00BA22B5"/>
    <w:rsid w:val="00BA2D34"/>
    <w:rsid w:val="00BA3973"/>
    <w:rsid w:val="00BA45FD"/>
    <w:rsid w:val="00BA5017"/>
    <w:rsid w:val="00BA5F9B"/>
    <w:rsid w:val="00BA690D"/>
    <w:rsid w:val="00BA6928"/>
    <w:rsid w:val="00BA7F80"/>
    <w:rsid w:val="00BB1F3D"/>
    <w:rsid w:val="00BB2EF3"/>
    <w:rsid w:val="00BB3172"/>
    <w:rsid w:val="00BB40B2"/>
    <w:rsid w:val="00BB4A9D"/>
    <w:rsid w:val="00BC2353"/>
    <w:rsid w:val="00BC4E16"/>
    <w:rsid w:val="00BC7B64"/>
    <w:rsid w:val="00BD581E"/>
    <w:rsid w:val="00BD607D"/>
    <w:rsid w:val="00BD793E"/>
    <w:rsid w:val="00BD7AF3"/>
    <w:rsid w:val="00BD7D83"/>
    <w:rsid w:val="00BE059C"/>
    <w:rsid w:val="00BE05DA"/>
    <w:rsid w:val="00BF2C38"/>
    <w:rsid w:val="00BF3358"/>
    <w:rsid w:val="00BF3680"/>
    <w:rsid w:val="00BF7F30"/>
    <w:rsid w:val="00C020F0"/>
    <w:rsid w:val="00C03EE9"/>
    <w:rsid w:val="00C04B57"/>
    <w:rsid w:val="00C0549D"/>
    <w:rsid w:val="00C05691"/>
    <w:rsid w:val="00C07165"/>
    <w:rsid w:val="00C140E5"/>
    <w:rsid w:val="00C15DE6"/>
    <w:rsid w:val="00C2423E"/>
    <w:rsid w:val="00C26AE3"/>
    <w:rsid w:val="00C31345"/>
    <w:rsid w:val="00C349F5"/>
    <w:rsid w:val="00C34D0B"/>
    <w:rsid w:val="00C34E19"/>
    <w:rsid w:val="00C37E05"/>
    <w:rsid w:val="00C400D3"/>
    <w:rsid w:val="00C4033F"/>
    <w:rsid w:val="00C40CA7"/>
    <w:rsid w:val="00C42C55"/>
    <w:rsid w:val="00C43132"/>
    <w:rsid w:val="00C436A2"/>
    <w:rsid w:val="00C46F97"/>
    <w:rsid w:val="00C52C6B"/>
    <w:rsid w:val="00C53018"/>
    <w:rsid w:val="00C539D0"/>
    <w:rsid w:val="00C555B8"/>
    <w:rsid w:val="00C637F4"/>
    <w:rsid w:val="00C642DF"/>
    <w:rsid w:val="00C644E9"/>
    <w:rsid w:val="00C64D27"/>
    <w:rsid w:val="00C66D70"/>
    <w:rsid w:val="00C67E33"/>
    <w:rsid w:val="00C71338"/>
    <w:rsid w:val="00C72C35"/>
    <w:rsid w:val="00C72D7B"/>
    <w:rsid w:val="00C826C9"/>
    <w:rsid w:val="00C833D8"/>
    <w:rsid w:val="00C853EB"/>
    <w:rsid w:val="00C85AC6"/>
    <w:rsid w:val="00C85F29"/>
    <w:rsid w:val="00C9054B"/>
    <w:rsid w:val="00C90FD7"/>
    <w:rsid w:val="00C95E09"/>
    <w:rsid w:val="00C96785"/>
    <w:rsid w:val="00CA003F"/>
    <w:rsid w:val="00CA1C01"/>
    <w:rsid w:val="00CA1DA9"/>
    <w:rsid w:val="00CA389F"/>
    <w:rsid w:val="00CA3D5C"/>
    <w:rsid w:val="00CA5608"/>
    <w:rsid w:val="00CA6044"/>
    <w:rsid w:val="00CB086F"/>
    <w:rsid w:val="00CB22E1"/>
    <w:rsid w:val="00CB565A"/>
    <w:rsid w:val="00CB7A54"/>
    <w:rsid w:val="00CC7130"/>
    <w:rsid w:val="00CC728C"/>
    <w:rsid w:val="00CC786E"/>
    <w:rsid w:val="00CD0FB1"/>
    <w:rsid w:val="00CE0381"/>
    <w:rsid w:val="00CE03D0"/>
    <w:rsid w:val="00CE1148"/>
    <w:rsid w:val="00CE171C"/>
    <w:rsid w:val="00CE26A1"/>
    <w:rsid w:val="00CF1766"/>
    <w:rsid w:val="00CF30B8"/>
    <w:rsid w:val="00CF49EA"/>
    <w:rsid w:val="00D006EB"/>
    <w:rsid w:val="00D0410E"/>
    <w:rsid w:val="00D051E3"/>
    <w:rsid w:val="00D06DF1"/>
    <w:rsid w:val="00D10D69"/>
    <w:rsid w:val="00D123EB"/>
    <w:rsid w:val="00D133F4"/>
    <w:rsid w:val="00D15261"/>
    <w:rsid w:val="00D1617D"/>
    <w:rsid w:val="00D17532"/>
    <w:rsid w:val="00D20F41"/>
    <w:rsid w:val="00D22ADF"/>
    <w:rsid w:val="00D22D7E"/>
    <w:rsid w:val="00D24FE7"/>
    <w:rsid w:val="00D254CA"/>
    <w:rsid w:val="00D26648"/>
    <w:rsid w:val="00D27CED"/>
    <w:rsid w:val="00D30B3A"/>
    <w:rsid w:val="00D34F27"/>
    <w:rsid w:val="00D35561"/>
    <w:rsid w:val="00D3657C"/>
    <w:rsid w:val="00D36C6A"/>
    <w:rsid w:val="00D37354"/>
    <w:rsid w:val="00D37646"/>
    <w:rsid w:val="00D37F88"/>
    <w:rsid w:val="00D40352"/>
    <w:rsid w:val="00D442D0"/>
    <w:rsid w:val="00D51493"/>
    <w:rsid w:val="00D515C5"/>
    <w:rsid w:val="00D52437"/>
    <w:rsid w:val="00D52C6A"/>
    <w:rsid w:val="00D5388D"/>
    <w:rsid w:val="00D538B7"/>
    <w:rsid w:val="00D53D7E"/>
    <w:rsid w:val="00D67FE7"/>
    <w:rsid w:val="00D81C2D"/>
    <w:rsid w:val="00D81E26"/>
    <w:rsid w:val="00D875D7"/>
    <w:rsid w:val="00D9460A"/>
    <w:rsid w:val="00DA055D"/>
    <w:rsid w:val="00DA1F05"/>
    <w:rsid w:val="00DA44C4"/>
    <w:rsid w:val="00DA5254"/>
    <w:rsid w:val="00DA62C4"/>
    <w:rsid w:val="00DA6935"/>
    <w:rsid w:val="00DB25EB"/>
    <w:rsid w:val="00DB3A6F"/>
    <w:rsid w:val="00DB3FFE"/>
    <w:rsid w:val="00DB519C"/>
    <w:rsid w:val="00DC14D8"/>
    <w:rsid w:val="00DC21EF"/>
    <w:rsid w:val="00DC54E4"/>
    <w:rsid w:val="00DD07BD"/>
    <w:rsid w:val="00DD3A37"/>
    <w:rsid w:val="00DD591A"/>
    <w:rsid w:val="00DD7639"/>
    <w:rsid w:val="00DE2A77"/>
    <w:rsid w:val="00DE3052"/>
    <w:rsid w:val="00DE4065"/>
    <w:rsid w:val="00DE496C"/>
    <w:rsid w:val="00DF06D2"/>
    <w:rsid w:val="00DF0CF8"/>
    <w:rsid w:val="00DF3C1D"/>
    <w:rsid w:val="00DF5957"/>
    <w:rsid w:val="00DF6E6A"/>
    <w:rsid w:val="00E00124"/>
    <w:rsid w:val="00E0240E"/>
    <w:rsid w:val="00E02FC8"/>
    <w:rsid w:val="00E0425A"/>
    <w:rsid w:val="00E042DA"/>
    <w:rsid w:val="00E04760"/>
    <w:rsid w:val="00E07A12"/>
    <w:rsid w:val="00E12845"/>
    <w:rsid w:val="00E1291B"/>
    <w:rsid w:val="00E133F5"/>
    <w:rsid w:val="00E148ED"/>
    <w:rsid w:val="00E1576D"/>
    <w:rsid w:val="00E16DF6"/>
    <w:rsid w:val="00E17FD1"/>
    <w:rsid w:val="00E2340E"/>
    <w:rsid w:val="00E24831"/>
    <w:rsid w:val="00E31298"/>
    <w:rsid w:val="00E33BEF"/>
    <w:rsid w:val="00E34E82"/>
    <w:rsid w:val="00E43105"/>
    <w:rsid w:val="00E475F2"/>
    <w:rsid w:val="00E50398"/>
    <w:rsid w:val="00E5134C"/>
    <w:rsid w:val="00E522C7"/>
    <w:rsid w:val="00E52BE0"/>
    <w:rsid w:val="00E56E6D"/>
    <w:rsid w:val="00E5706E"/>
    <w:rsid w:val="00E664C0"/>
    <w:rsid w:val="00E71812"/>
    <w:rsid w:val="00E72E7A"/>
    <w:rsid w:val="00E73B07"/>
    <w:rsid w:val="00E7408C"/>
    <w:rsid w:val="00E76D5D"/>
    <w:rsid w:val="00E81567"/>
    <w:rsid w:val="00E8234D"/>
    <w:rsid w:val="00E83A53"/>
    <w:rsid w:val="00E83F4B"/>
    <w:rsid w:val="00E87A40"/>
    <w:rsid w:val="00E9268B"/>
    <w:rsid w:val="00E929EB"/>
    <w:rsid w:val="00E9487F"/>
    <w:rsid w:val="00E9613D"/>
    <w:rsid w:val="00EA063F"/>
    <w:rsid w:val="00EA0752"/>
    <w:rsid w:val="00EA0D51"/>
    <w:rsid w:val="00EA0FC1"/>
    <w:rsid w:val="00EA2A68"/>
    <w:rsid w:val="00EA39AB"/>
    <w:rsid w:val="00EA57E8"/>
    <w:rsid w:val="00EA61A3"/>
    <w:rsid w:val="00EA66E4"/>
    <w:rsid w:val="00EB0947"/>
    <w:rsid w:val="00EB2788"/>
    <w:rsid w:val="00EB3705"/>
    <w:rsid w:val="00EC26A2"/>
    <w:rsid w:val="00EC5788"/>
    <w:rsid w:val="00EC6885"/>
    <w:rsid w:val="00ED3E8E"/>
    <w:rsid w:val="00ED7C48"/>
    <w:rsid w:val="00EE1DD4"/>
    <w:rsid w:val="00EE4D72"/>
    <w:rsid w:val="00EE4DFF"/>
    <w:rsid w:val="00EE772D"/>
    <w:rsid w:val="00EF438A"/>
    <w:rsid w:val="00EF7B85"/>
    <w:rsid w:val="00F03355"/>
    <w:rsid w:val="00F03B1A"/>
    <w:rsid w:val="00F047D6"/>
    <w:rsid w:val="00F04D71"/>
    <w:rsid w:val="00F05024"/>
    <w:rsid w:val="00F05B6B"/>
    <w:rsid w:val="00F05DE6"/>
    <w:rsid w:val="00F11262"/>
    <w:rsid w:val="00F1196E"/>
    <w:rsid w:val="00F11F1F"/>
    <w:rsid w:val="00F144D4"/>
    <w:rsid w:val="00F14B83"/>
    <w:rsid w:val="00F17139"/>
    <w:rsid w:val="00F217D9"/>
    <w:rsid w:val="00F25011"/>
    <w:rsid w:val="00F25F43"/>
    <w:rsid w:val="00F26577"/>
    <w:rsid w:val="00F2669D"/>
    <w:rsid w:val="00F271A9"/>
    <w:rsid w:val="00F30333"/>
    <w:rsid w:val="00F3159A"/>
    <w:rsid w:val="00F3420C"/>
    <w:rsid w:val="00F409AD"/>
    <w:rsid w:val="00F40EF6"/>
    <w:rsid w:val="00F42142"/>
    <w:rsid w:val="00F4666E"/>
    <w:rsid w:val="00F47494"/>
    <w:rsid w:val="00F474EB"/>
    <w:rsid w:val="00F51557"/>
    <w:rsid w:val="00F52608"/>
    <w:rsid w:val="00F53F4B"/>
    <w:rsid w:val="00F557BF"/>
    <w:rsid w:val="00F558AE"/>
    <w:rsid w:val="00F574C7"/>
    <w:rsid w:val="00F6030A"/>
    <w:rsid w:val="00F60BD8"/>
    <w:rsid w:val="00F61A2F"/>
    <w:rsid w:val="00F6531B"/>
    <w:rsid w:val="00F6598D"/>
    <w:rsid w:val="00F66059"/>
    <w:rsid w:val="00F66764"/>
    <w:rsid w:val="00F66F9B"/>
    <w:rsid w:val="00F674E3"/>
    <w:rsid w:val="00F74B77"/>
    <w:rsid w:val="00F8111F"/>
    <w:rsid w:val="00F83939"/>
    <w:rsid w:val="00F843EA"/>
    <w:rsid w:val="00F844DC"/>
    <w:rsid w:val="00F85B7C"/>
    <w:rsid w:val="00F870EB"/>
    <w:rsid w:val="00F87A2A"/>
    <w:rsid w:val="00F95539"/>
    <w:rsid w:val="00F957E5"/>
    <w:rsid w:val="00F97851"/>
    <w:rsid w:val="00FA2D55"/>
    <w:rsid w:val="00FA430F"/>
    <w:rsid w:val="00FA4FDF"/>
    <w:rsid w:val="00FB08A2"/>
    <w:rsid w:val="00FB16FD"/>
    <w:rsid w:val="00FB4E1E"/>
    <w:rsid w:val="00FC1C84"/>
    <w:rsid w:val="00FC27B4"/>
    <w:rsid w:val="00FC3F38"/>
    <w:rsid w:val="00FC4034"/>
    <w:rsid w:val="00FC4BD7"/>
    <w:rsid w:val="00FD14E7"/>
    <w:rsid w:val="00FD427A"/>
    <w:rsid w:val="00FD5AFC"/>
    <w:rsid w:val="00FE0BF7"/>
    <w:rsid w:val="00FE5772"/>
    <w:rsid w:val="00FE70F7"/>
    <w:rsid w:val="00FF6565"/>
    <w:rsid w:val="00FF7261"/>
    <w:rsid w:val="00FF75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93D7F"/>
  <w15:docId w15:val="{09AF6143-029A-45AC-BF4E-194BC73C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72D"/>
    <w:pPr>
      <w:spacing w:after="0" w:line="240" w:lineRule="auto"/>
    </w:pPr>
    <w:rPr>
      <w:rFonts w:ascii="Times New Roman" w:eastAsia="Times New Roman" w:hAnsi="Times New Roman" w:cs="Times New Roman"/>
      <w:sz w:val="24"/>
      <w:szCs w:val="24"/>
      <w:lang w:val="sq-AL" w:eastAsia="sq-AL"/>
    </w:rPr>
  </w:style>
  <w:style w:type="paragraph" w:styleId="Heading1">
    <w:name w:val="heading 1"/>
    <w:basedOn w:val="Normal"/>
    <w:next w:val="Normal"/>
    <w:link w:val="Heading1Char"/>
    <w:uiPriority w:val="9"/>
    <w:qFormat/>
    <w:rsid w:val="00B77E89"/>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B70117"/>
    <w:pPr>
      <w:keepNext/>
      <w:outlineLvl w:val="1"/>
    </w:pPr>
    <w:rPr>
      <w:b/>
      <w:sz w:val="28"/>
      <w:lang w:eastAsia="en-US"/>
    </w:rPr>
  </w:style>
  <w:style w:type="paragraph" w:styleId="Heading3">
    <w:name w:val="heading 3"/>
    <w:basedOn w:val="Normal"/>
    <w:next w:val="Normal"/>
    <w:link w:val="Heading3Char"/>
    <w:uiPriority w:val="9"/>
    <w:unhideWhenUsed/>
    <w:qFormat/>
    <w:rsid w:val="003A33F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unhideWhenUsed/>
    <w:qFormat/>
    <w:rsid w:val="006C7603"/>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qFormat/>
    <w:rsid w:val="00EE772D"/>
    <w:pPr>
      <w:jc w:val="center"/>
    </w:pPr>
    <w:rPr>
      <w:rFonts w:ascii="MS Mincho" w:eastAsia="MS Mincho"/>
      <w:sz w:val="28"/>
      <w:szCs w:val="20"/>
    </w:rPr>
  </w:style>
  <w:style w:type="character" w:customStyle="1" w:styleId="TitleChar">
    <w:name w:val="Title Char"/>
    <w:basedOn w:val="DefaultParagraphFont"/>
    <w:uiPriority w:val="10"/>
    <w:rsid w:val="00EE772D"/>
    <w:rPr>
      <w:rFonts w:asciiTheme="majorHAnsi" w:eastAsiaTheme="majorEastAsia" w:hAnsiTheme="majorHAnsi" w:cstheme="majorBidi"/>
      <w:color w:val="17365D" w:themeColor="text2" w:themeShade="BF"/>
      <w:spacing w:val="5"/>
      <w:kern w:val="28"/>
      <w:sz w:val="52"/>
      <w:szCs w:val="52"/>
      <w:lang w:val="sq-AL" w:eastAsia="sq-AL"/>
    </w:rPr>
  </w:style>
  <w:style w:type="paragraph" w:styleId="BodyText3">
    <w:name w:val="Body Text 3"/>
    <w:basedOn w:val="Normal"/>
    <w:link w:val="BodyText3Char"/>
    <w:unhideWhenUsed/>
    <w:rsid w:val="00EE772D"/>
    <w:pPr>
      <w:spacing w:after="120"/>
    </w:pPr>
    <w:rPr>
      <w:rFonts w:ascii="Garamond" w:hAnsi="Garamond"/>
      <w:sz w:val="16"/>
      <w:szCs w:val="16"/>
      <w:lang w:eastAsia="en-US"/>
    </w:rPr>
  </w:style>
  <w:style w:type="character" w:customStyle="1" w:styleId="BodyText3Char">
    <w:name w:val="Body Text 3 Char"/>
    <w:basedOn w:val="DefaultParagraphFont"/>
    <w:link w:val="BodyText3"/>
    <w:rsid w:val="00EE772D"/>
    <w:rPr>
      <w:rFonts w:ascii="Garamond" w:eastAsia="Times New Roman" w:hAnsi="Garamond" w:cs="Times New Roman"/>
      <w:sz w:val="16"/>
      <w:szCs w:val="16"/>
      <w:lang w:val="sq-AL"/>
    </w:rPr>
  </w:style>
  <w:style w:type="character" w:customStyle="1" w:styleId="TitleChar1">
    <w:name w:val="Title Char1"/>
    <w:basedOn w:val="DefaultParagraphFont"/>
    <w:link w:val="Title"/>
    <w:locked/>
    <w:rsid w:val="00EE772D"/>
    <w:rPr>
      <w:rFonts w:ascii="MS Mincho" w:eastAsia="MS Mincho" w:hAnsi="Times New Roman" w:cs="Times New Roman"/>
      <w:sz w:val="28"/>
      <w:szCs w:val="20"/>
      <w:lang w:val="sq-AL" w:eastAsia="sq-AL"/>
    </w:rPr>
  </w:style>
  <w:style w:type="paragraph" w:styleId="Footer">
    <w:name w:val="footer"/>
    <w:aliases w:val=" Char,Char"/>
    <w:basedOn w:val="Normal"/>
    <w:link w:val="FooterChar"/>
    <w:uiPriority w:val="99"/>
    <w:unhideWhenUsed/>
    <w:rsid w:val="00EE772D"/>
    <w:pPr>
      <w:tabs>
        <w:tab w:val="center" w:pos="4680"/>
        <w:tab w:val="right" w:pos="9360"/>
      </w:tabs>
    </w:pPr>
  </w:style>
  <w:style w:type="character" w:customStyle="1" w:styleId="FooterChar">
    <w:name w:val="Footer Char"/>
    <w:aliases w:val=" Char Char,Char Char"/>
    <w:basedOn w:val="DefaultParagraphFont"/>
    <w:link w:val="Footer"/>
    <w:uiPriority w:val="99"/>
    <w:rsid w:val="00EE772D"/>
    <w:rPr>
      <w:rFonts w:ascii="Times New Roman" w:eastAsia="Times New Roman" w:hAnsi="Times New Roman" w:cs="Times New Roman"/>
      <w:sz w:val="24"/>
      <w:szCs w:val="24"/>
      <w:lang w:val="sq-AL" w:eastAsia="sq-AL"/>
    </w:rPr>
  </w:style>
  <w:style w:type="character" w:styleId="Hyperlink">
    <w:name w:val="Hyperlink"/>
    <w:basedOn w:val="DefaultParagraphFont"/>
    <w:unhideWhenUsed/>
    <w:rsid w:val="00EE772D"/>
    <w:rPr>
      <w:color w:val="0000FF"/>
      <w:u w:val="single"/>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L"/>
    <w:basedOn w:val="Normal"/>
    <w:link w:val="ListParagraphChar"/>
    <w:uiPriority w:val="34"/>
    <w:qFormat/>
    <w:rsid w:val="00EE772D"/>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D36C6A"/>
    <w:pPr>
      <w:tabs>
        <w:tab w:val="center" w:pos="4680"/>
        <w:tab w:val="right" w:pos="9360"/>
      </w:tabs>
    </w:pPr>
  </w:style>
  <w:style w:type="character" w:customStyle="1" w:styleId="HeaderChar">
    <w:name w:val="Header Char"/>
    <w:basedOn w:val="DefaultParagraphFont"/>
    <w:link w:val="Header"/>
    <w:uiPriority w:val="99"/>
    <w:rsid w:val="00D36C6A"/>
    <w:rPr>
      <w:rFonts w:ascii="Times New Roman" w:eastAsia="Times New Roman" w:hAnsi="Times New Roman" w:cs="Times New Roman"/>
      <w:sz w:val="24"/>
      <w:szCs w:val="24"/>
      <w:lang w:val="sq-AL" w:eastAsia="sq-AL"/>
    </w:rPr>
  </w:style>
  <w:style w:type="character" w:customStyle="1" w:styleId="Heading2Char">
    <w:name w:val="Heading 2 Char"/>
    <w:basedOn w:val="DefaultParagraphFont"/>
    <w:link w:val="Heading2"/>
    <w:uiPriority w:val="9"/>
    <w:rsid w:val="00B70117"/>
    <w:rPr>
      <w:rFonts w:ascii="Times New Roman" w:eastAsia="Times New Roman" w:hAnsi="Times New Roman" w:cs="Times New Roman"/>
      <w:b/>
      <w:sz w:val="28"/>
      <w:szCs w:val="24"/>
      <w:lang w:val="sq-AL"/>
    </w:rPr>
  </w:style>
  <w:style w:type="paragraph" w:styleId="BalloonText">
    <w:name w:val="Balloon Text"/>
    <w:basedOn w:val="Normal"/>
    <w:link w:val="BalloonTextChar"/>
    <w:uiPriority w:val="99"/>
    <w:semiHidden/>
    <w:unhideWhenUsed/>
    <w:rsid w:val="001E6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B6"/>
    <w:rPr>
      <w:rFonts w:ascii="Segoe UI" w:eastAsia="Times New Roman" w:hAnsi="Segoe UI" w:cs="Segoe UI"/>
      <w:sz w:val="18"/>
      <w:szCs w:val="18"/>
      <w:lang w:val="sq-AL" w:eastAsia="sq-AL"/>
    </w:rPr>
  </w:style>
  <w:style w:type="character" w:customStyle="1" w:styleId="Heading1Char">
    <w:name w:val="Heading 1 Char"/>
    <w:basedOn w:val="DefaultParagraphFont"/>
    <w:link w:val="Heading1"/>
    <w:uiPriority w:val="9"/>
    <w:rsid w:val="00B77E89"/>
    <w:rPr>
      <w:rFonts w:ascii="Cambria" w:eastAsia="Times New Roman" w:hAnsi="Cambria" w:cs="Times New Roman"/>
      <w:b/>
      <w:bCs/>
      <w:kern w:val="32"/>
      <w:sz w:val="32"/>
      <w:szCs w:val="32"/>
    </w:r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qFormat/>
    <w:rsid w:val="00180FD0"/>
    <w:rPr>
      <w:rFonts w:ascii="Calibri" w:eastAsia="Calibri" w:hAnsi="Calibri" w:cs="Times New Roman"/>
      <w:lang w:val="sq-AL"/>
    </w:rPr>
  </w:style>
  <w:style w:type="paragraph" w:styleId="NoSpacing">
    <w:name w:val="No Spacing"/>
    <w:link w:val="NoSpacingChar"/>
    <w:uiPriority w:val="1"/>
    <w:qFormat/>
    <w:rsid w:val="00054E38"/>
    <w:pPr>
      <w:spacing w:after="0" w:line="240" w:lineRule="auto"/>
    </w:pPr>
    <w:rPr>
      <w:rFonts w:ascii="Calibri" w:eastAsia="Times New Roman" w:hAnsi="Calibri" w:cs="Times New Roman"/>
      <w:lang w:val="it-IT"/>
    </w:rPr>
  </w:style>
  <w:style w:type="character" w:styleId="Strong">
    <w:name w:val="Strong"/>
    <w:uiPriority w:val="22"/>
    <w:qFormat/>
    <w:rsid w:val="00054E38"/>
    <w:rPr>
      <w:b/>
      <w:bCs/>
    </w:rPr>
  </w:style>
  <w:style w:type="character" w:customStyle="1" w:styleId="Heading3Char">
    <w:name w:val="Heading 3 Char"/>
    <w:basedOn w:val="DefaultParagraphFont"/>
    <w:link w:val="Heading3"/>
    <w:uiPriority w:val="9"/>
    <w:rsid w:val="003A33F8"/>
    <w:rPr>
      <w:rFonts w:asciiTheme="majorHAnsi" w:eastAsiaTheme="majorEastAsia" w:hAnsiTheme="majorHAnsi" w:cstheme="majorBidi"/>
      <w:b/>
      <w:bCs/>
      <w:color w:val="4F81BD" w:themeColor="accent1"/>
      <w:lang w:val="sq-AL"/>
    </w:rPr>
  </w:style>
  <w:style w:type="paragraph" w:customStyle="1" w:styleId="Default">
    <w:name w:val="Default"/>
    <w:link w:val="DefaultChar"/>
    <w:rsid w:val="003A33F8"/>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customStyle="1" w:styleId="DefaultChar">
    <w:name w:val="Default Char"/>
    <w:link w:val="Default"/>
    <w:locked/>
    <w:rsid w:val="003A33F8"/>
    <w:rPr>
      <w:rFonts w:ascii="Times New Roman" w:eastAsia="Calibri" w:hAnsi="Times New Roman" w:cs="Times New Roman"/>
      <w:color w:val="000000"/>
      <w:sz w:val="24"/>
      <w:szCs w:val="24"/>
      <w:lang w:val="en-GB" w:eastAsia="en-GB"/>
    </w:rPr>
  </w:style>
  <w:style w:type="character" w:customStyle="1" w:styleId="hps">
    <w:name w:val="hps"/>
    <w:basedOn w:val="DefaultParagraphFont"/>
    <w:rsid w:val="003A33F8"/>
  </w:style>
  <w:style w:type="paragraph" w:customStyle="1" w:styleId="Title1">
    <w:name w:val="Title1"/>
    <w:basedOn w:val="Normal"/>
    <w:rsid w:val="008637BE"/>
    <w:pPr>
      <w:spacing w:before="100" w:beforeAutospacing="1" w:after="100" w:afterAutospacing="1"/>
    </w:pPr>
    <w:rPr>
      <w:lang w:val="en-US" w:eastAsia="en-US"/>
    </w:rPr>
  </w:style>
  <w:style w:type="character" w:customStyle="1" w:styleId="fontstyle01">
    <w:name w:val="fontstyle01"/>
    <w:basedOn w:val="DefaultParagraphFont"/>
    <w:rsid w:val="00B9634F"/>
    <w:rPr>
      <w:rFonts w:ascii="Times New Roman" w:hAnsi="Times New Roman" w:cs="Times New Roman" w:hint="default"/>
      <w:b w:val="0"/>
      <w:bCs w:val="0"/>
      <w:i w:val="0"/>
      <w:iCs w:val="0"/>
      <w:color w:val="000000"/>
      <w:sz w:val="24"/>
      <w:szCs w:val="24"/>
    </w:rPr>
  </w:style>
  <w:style w:type="paragraph" w:styleId="Caption">
    <w:name w:val="caption"/>
    <w:basedOn w:val="Normal"/>
    <w:qFormat/>
    <w:rsid w:val="00B9634F"/>
    <w:pPr>
      <w:suppressLineNumbers/>
      <w:suppressAutoHyphens/>
      <w:spacing w:before="120" w:after="120" w:line="276" w:lineRule="auto"/>
    </w:pPr>
    <w:rPr>
      <w:rFonts w:ascii="Calibri" w:eastAsia="Batang" w:hAnsi="Calibri" w:cs="Lohit Hindi"/>
      <w:i/>
      <w:iCs/>
      <w:lang w:eastAsia="zh-CN"/>
    </w:rPr>
  </w:style>
  <w:style w:type="paragraph" w:styleId="CommentText">
    <w:name w:val="annotation text"/>
    <w:basedOn w:val="Normal"/>
    <w:link w:val="CommentTextChar"/>
    <w:uiPriority w:val="99"/>
    <w:unhideWhenUsed/>
    <w:rsid w:val="00B9634F"/>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9634F"/>
    <w:rPr>
      <w:rFonts w:ascii="Calibri" w:eastAsia="Calibri" w:hAnsi="Calibri" w:cs="Times New Roman"/>
      <w:sz w:val="20"/>
      <w:szCs w:val="20"/>
      <w:lang w:val="sq-AL"/>
    </w:rPr>
  </w:style>
  <w:style w:type="paragraph" w:styleId="BodyText">
    <w:name w:val="Body Text"/>
    <w:basedOn w:val="Normal"/>
    <w:link w:val="BodyTextChar"/>
    <w:uiPriority w:val="99"/>
    <w:unhideWhenUsed/>
    <w:rsid w:val="00B9634F"/>
    <w:pPr>
      <w:spacing w:after="120"/>
    </w:pPr>
  </w:style>
  <w:style w:type="character" w:customStyle="1" w:styleId="BodyTextChar">
    <w:name w:val="Body Text Char"/>
    <w:basedOn w:val="DefaultParagraphFont"/>
    <w:link w:val="BodyText"/>
    <w:uiPriority w:val="99"/>
    <w:rsid w:val="00B9634F"/>
    <w:rPr>
      <w:rFonts w:ascii="Times New Roman" w:eastAsia="Times New Roman" w:hAnsi="Times New Roman" w:cs="Times New Roman"/>
      <w:sz w:val="24"/>
      <w:szCs w:val="24"/>
      <w:lang w:val="sq-AL" w:eastAsia="sq-AL"/>
    </w:rPr>
  </w:style>
  <w:style w:type="paragraph" w:styleId="NormalWeb">
    <w:name w:val="Normal (Web)"/>
    <w:aliases w:val="Normal (Web) Char,Normal (Web) Char Char Char Char Char,Normal (Web) Char Char Char Char Char Char"/>
    <w:basedOn w:val="Normal"/>
    <w:uiPriority w:val="99"/>
    <w:unhideWhenUsed/>
    <w:rsid w:val="00FB08A2"/>
    <w:pPr>
      <w:spacing w:before="100" w:beforeAutospacing="1" w:after="100" w:afterAutospacing="1"/>
    </w:pPr>
    <w:rPr>
      <w:rFonts w:eastAsiaTheme="minorHAnsi"/>
      <w:lang w:val="en-US"/>
    </w:rPr>
  </w:style>
  <w:style w:type="paragraph" w:customStyle="1" w:styleId="m4120476451576318812msolistparagraph">
    <w:name w:val="m_4120476451576318812msolistparagraph"/>
    <w:basedOn w:val="Normal"/>
    <w:rsid w:val="00C0549D"/>
    <w:pPr>
      <w:spacing w:before="100" w:beforeAutospacing="1" w:after="100" w:afterAutospacing="1"/>
    </w:pPr>
    <w:rPr>
      <w:lang w:val="en-US" w:eastAsia="en-US"/>
    </w:rPr>
  </w:style>
  <w:style w:type="paragraph" w:styleId="FootnoteText">
    <w:name w:val="footnote text"/>
    <w:basedOn w:val="Normal"/>
    <w:link w:val="FootnoteTextChar"/>
    <w:uiPriority w:val="99"/>
    <w:semiHidden/>
    <w:unhideWhenUsed/>
    <w:rsid w:val="00C26AE3"/>
    <w:rPr>
      <w:rFonts w:ascii="Calibri" w:eastAsia="Calibri" w:hAnsi="Calibri" w:cs="Arial"/>
      <w:sz w:val="20"/>
      <w:szCs w:val="20"/>
      <w:lang w:val="en-US" w:eastAsia="en-US"/>
    </w:rPr>
  </w:style>
  <w:style w:type="character" w:customStyle="1" w:styleId="FootnoteTextChar">
    <w:name w:val="Footnote Text Char"/>
    <w:basedOn w:val="DefaultParagraphFont"/>
    <w:link w:val="FootnoteText"/>
    <w:uiPriority w:val="99"/>
    <w:semiHidden/>
    <w:rsid w:val="00C26AE3"/>
    <w:rPr>
      <w:rFonts w:ascii="Calibri" w:eastAsia="Calibri" w:hAnsi="Calibri" w:cs="Arial"/>
      <w:sz w:val="20"/>
      <w:szCs w:val="20"/>
    </w:rPr>
  </w:style>
  <w:style w:type="character" w:styleId="FootnoteReference">
    <w:name w:val="footnote reference"/>
    <w:uiPriority w:val="99"/>
    <w:semiHidden/>
    <w:unhideWhenUsed/>
    <w:rsid w:val="00C26AE3"/>
    <w:rPr>
      <w:vertAlign w:val="superscript"/>
    </w:rPr>
  </w:style>
  <w:style w:type="table" w:styleId="GridTable4-Accent6">
    <w:name w:val="Grid Table 4 Accent 6"/>
    <w:basedOn w:val="TableNormal"/>
    <w:uiPriority w:val="49"/>
    <w:rsid w:val="00E33BEF"/>
    <w:pPr>
      <w:spacing w:after="0" w:line="240" w:lineRule="auto"/>
    </w:pPr>
    <w:rPr>
      <w:lang w:val="sq-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4Char">
    <w:name w:val="Heading 4 Char"/>
    <w:basedOn w:val="DefaultParagraphFont"/>
    <w:link w:val="Heading4"/>
    <w:uiPriority w:val="9"/>
    <w:rsid w:val="006C7603"/>
    <w:rPr>
      <w:rFonts w:asciiTheme="majorHAnsi" w:eastAsiaTheme="majorEastAsia" w:hAnsiTheme="majorHAnsi" w:cstheme="majorBidi"/>
      <w:i/>
      <w:iCs/>
      <w:color w:val="365F91" w:themeColor="accent1" w:themeShade="BF"/>
      <w:lang w:val="sq-AL"/>
    </w:rPr>
  </w:style>
  <w:style w:type="table" w:styleId="TableGrid">
    <w:name w:val="Table Grid"/>
    <w:basedOn w:val="TableNormal"/>
    <w:uiPriority w:val="39"/>
    <w:rsid w:val="00B23928"/>
    <w:pPr>
      <w:spacing w:after="22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F708F"/>
    <w:rPr>
      <w:i/>
      <w:iCs/>
    </w:rPr>
  </w:style>
  <w:style w:type="table" w:styleId="PlainTable1">
    <w:name w:val="Plain Table 1"/>
    <w:basedOn w:val="TableNormal"/>
    <w:uiPriority w:val="41"/>
    <w:rsid w:val="007D177F"/>
    <w:pPr>
      <w:spacing w:after="0" w:line="240" w:lineRule="auto"/>
    </w:pPr>
    <w:rPr>
      <w:lang w:val="sq-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8B70D5"/>
    <w:pPr>
      <w:widowControl w:val="0"/>
      <w:autoSpaceDE w:val="0"/>
      <w:autoSpaceDN w:val="0"/>
    </w:pPr>
    <w:rPr>
      <w:sz w:val="22"/>
      <w:szCs w:val="22"/>
      <w:lang w:val="en-US" w:eastAsia="en-US"/>
    </w:rPr>
  </w:style>
  <w:style w:type="character" w:customStyle="1" w:styleId="NoSpacingChar">
    <w:name w:val="No Spacing Char"/>
    <w:basedOn w:val="DefaultParagraphFont"/>
    <w:link w:val="NoSpacing"/>
    <w:uiPriority w:val="1"/>
    <w:rsid w:val="004A1A46"/>
    <w:rPr>
      <w:rFonts w:ascii="Calibri" w:eastAsia="Times New Roman" w:hAnsi="Calibri" w:cs="Times New Roman"/>
      <w:lang w:val="it-IT"/>
    </w:rPr>
  </w:style>
  <w:style w:type="character" w:customStyle="1" w:styleId="xcontentpasted1">
    <w:name w:val="x_contentpasted1"/>
    <w:basedOn w:val="DefaultParagraphFont"/>
    <w:rsid w:val="00B6049A"/>
  </w:style>
  <w:style w:type="character" w:customStyle="1" w:styleId="s1">
    <w:name w:val="s1"/>
    <w:basedOn w:val="DefaultParagraphFont"/>
    <w:rsid w:val="00CA3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125">
      <w:bodyDiv w:val="1"/>
      <w:marLeft w:val="0"/>
      <w:marRight w:val="0"/>
      <w:marTop w:val="0"/>
      <w:marBottom w:val="0"/>
      <w:divBdr>
        <w:top w:val="none" w:sz="0" w:space="0" w:color="auto"/>
        <w:left w:val="none" w:sz="0" w:space="0" w:color="auto"/>
        <w:bottom w:val="none" w:sz="0" w:space="0" w:color="auto"/>
        <w:right w:val="none" w:sz="0" w:space="0" w:color="auto"/>
      </w:divBdr>
    </w:div>
    <w:div w:id="10425161">
      <w:bodyDiv w:val="1"/>
      <w:marLeft w:val="0"/>
      <w:marRight w:val="0"/>
      <w:marTop w:val="0"/>
      <w:marBottom w:val="0"/>
      <w:divBdr>
        <w:top w:val="none" w:sz="0" w:space="0" w:color="auto"/>
        <w:left w:val="none" w:sz="0" w:space="0" w:color="auto"/>
        <w:bottom w:val="none" w:sz="0" w:space="0" w:color="auto"/>
        <w:right w:val="none" w:sz="0" w:space="0" w:color="auto"/>
      </w:divBdr>
    </w:div>
    <w:div w:id="68815593">
      <w:bodyDiv w:val="1"/>
      <w:marLeft w:val="0"/>
      <w:marRight w:val="0"/>
      <w:marTop w:val="0"/>
      <w:marBottom w:val="0"/>
      <w:divBdr>
        <w:top w:val="none" w:sz="0" w:space="0" w:color="auto"/>
        <w:left w:val="none" w:sz="0" w:space="0" w:color="auto"/>
        <w:bottom w:val="none" w:sz="0" w:space="0" w:color="auto"/>
        <w:right w:val="none" w:sz="0" w:space="0" w:color="auto"/>
      </w:divBdr>
    </w:div>
    <w:div w:id="76757916">
      <w:bodyDiv w:val="1"/>
      <w:marLeft w:val="0"/>
      <w:marRight w:val="0"/>
      <w:marTop w:val="0"/>
      <w:marBottom w:val="0"/>
      <w:divBdr>
        <w:top w:val="none" w:sz="0" w:space="0" w:color="auto"/>
        <w:left w:val="none" w:sz="0" w:space="0" w:color="auto"/>
        <w:bottom w:val="none" w:sz="0" w:space="0" w:color="auto"/>
        <w:right w:val="none" w:sz="0" w:space="0" w:color="auto"/>
      </w:divBdr>
    </w:div>
    <w:div w:id="131824852">
      <w:bodyDiv w:val="1"/>
      <w:marLeft w:val="0"/>
      <w:marRight w:val="0"/>
      <w:marTop w:val="0"/>
      <w:marBottom w:val="0"/>
      <w:divBdr>
        <w:top w:val="none" w:sz="0" w:space="0" w:color="auto"/>
        <w:left w:val="none" w:sz="0" w:space="0" w:color="auto"/>
        <w:bottom w:val="none" w:sz="0" w:space="0" w:color="auto"/>
        <w:right w:val="none" w:sz="0" w:space="0" w:color="auto"/>
      </w:divBdr>
    </w:div>
    <w:div w:id="198126428">
      <w:bodyDiv w:val="1"/>
      <w:marLeft w:val="0"/>
      <w:marRight w:val="0"/>
      <w:marTop w:val="0"/>
      <w:marBottom w:val="0"/>
      <w:divBdr>
        <w:top w:val="none" w:sz="0" w:space="0" w:color="auto"/>
        <w:left w:val="none" w:sz="0" w:space="0" w:color="auto"/>
        <w:bottom w:val="none" w:sz="0" w:space="0" w:color="auto"/>
        <w:right w:val="none" w:sz="0" w:space="0" w:color="auto"/>
      </w:divBdr>
    </w:div>
    <w:div w:id="250820612">
      <w:bodyDiv w:val="1"/>
      <w:marLeft w:val="0"/>
      <w:marRight w:val="0"/>
      <w:marTop w:val="0"/>
      <w:marBottom w:val="0"/>
      <w:divBdr>
        <w:top w:val="none" w:sz="0" w:space="0" w:color="auto"/>
        <w:left w:val="none" w:sz="0" w:space="0" w:color="auto"/>
        <w:bottom w:val="none" w:sz="0" w:space="0" w:color="auto"/>
        <w:right w:val="none" w:sz="0" w:space="0" w:color="auto"/>
      </w:divBdr>
    </w:div>
    <w:div w:id="357586404">
      <w:bodyDiv w:val="1"/>
      <w:marLeft w:val="0"/>
      <w:marRight w:val="0"/>
      <w:marTop w:val="0"/>
      <w:marBottom w:val="0"/>
      <w:divBdr>
        <w:top w:val="none" w:sz="0" w:space="0" w:color="auto"/>
        <w:left w:val="none" w:sz="0" w:space="0" w:color="auto"/>
        <w:bottom w:val="none" w:sz="0" w:space="0" w:color="auto"/>
        <w:right w:val="none" w:sz="0" w:space="0" w:color="auto"/>
      </w:divBdr>
    </w:div>
    <w:div w:id="433283328">
      <w:bodyDiv w:val="1"/>
      <w:marLeft w:val="0"/>
      <w:marRight w:val="0"/>
      <w:marTop w:val="0"/>
      <w:marBottom w:val="0"/>
      <w:divBdr>
        <w:top w:val="none" w:sz="0" w:space="0" w:color="auto"/>
        <w:left w:val="none" w:sz="0" w:space="0" w:color="auto"/>
        <w:bottom w:val="none" w:sz="0" w:space="0" w:color="auto"/>
        <w:right w:val="none" w:sz="0" w:space="0" w:color="auto"/>
      </w:divBdr>
    </w:div>
    <w:div w:id="544374387">
      <w:bodyDiv w:val="1"/>
      <w:marLeft w:val="0"/>
      <w:marRight w:val="0"/>
      <w:marTop w:val="0"/>
      <w:marBottom w:val="0"/>
      <w:divBdr>
        <w:top w:val="none" w:sz="0" w:space="0" w:color="auto"/>
        <w:left w:val="none" w:sz="0" w:space="0" w:color="auto"/>
        <w:bottom w:val="none" w:sz="0" w:space="0" w:color="auto"/>
        <w:right w:val="none" w:sz="0" w:space="0" w:color="auto"/>
      </w:divBdr>
    </w:div>
    <w:div w:id="572551208">
      <w:bodyDiv w:val="1"/>
      <w:marLeft w:val="0"/>
      <w:marRight w:val="0"/>
      <w:marTop w:val="0"/>
      <w:marBottom w:val="0"/>
      <w:divBdr>
        <w:top w:val="none" w:sz="0" w:space="0" w:color="auto"/>
        <w:left w:val="none" w:sz="0" w:space="0" w:color="auto"/>
        <w:bottom w:val="none" w:sz="0" w:space="0" w:color="auto"/>
        <w:right w:val="none" w:sz="0" w:space="0" w:color="auto"/>
      </w:divBdr>
    </w:div>
    <w:div w:id="660473924">
      <w:bodyDiv w:val="1"/>
      <w:marLeft w:val="0"/>
      <w:marRight w:val="0"/>
      <w:marTop w:val="0"/>
      <w:marBottom w:val="0"/>
      <w:divBdr>
        <w:top w:val="none" w:sz="0" w:space="0" w:color="auto"/>
        <w:left w:val="none" w:sz="0" w:space="0" w:color="auto"/>
        <w:bottom w:val="none" w:sz="0" w:space="0" w:color="auto"/>
        <w:right w:val="none" w:sz="0" w:space="0" w:color="auto"/>
      </w:divBdr>
    </w:div>
    <w:div w:id="788864049">
      <w:bodyDiv w:val="1"/>
      <w:marLeft w:val="0"/>
      <w:marRight w:val="0"/>
      <w:marTop w:val="0"/>
      <w:marBottom w:val="0"/>
      <w:divBdr>
        <w:top w:val="none" w:sz="0" w:space="0" w:color="auto"/>
        <w:left w:val="none" w:sz="0" w:space="0" w:color="auto"/>
        <w:bottom w:val="none" w:sz="0" w:space="0" w:color="auto"/>
        <w:right w:val="none" w:sz="0" w:space="0" w:color="auto"/>
      </w:divBdr>
    </w:div>
    <w:div w:id="826094954">
      <w:bodyDiv w:val="1"/>
      <w:marLeft w:val="0"/>
      <w:marRight w:val="0"/>
      <w:marTop w:val="0"/>
      <w:marBottom w:val="0"/>
      <w:divBdr>
        <w:top w:val="none" w:sz="0" w:space="0" w:color="auto"/>
        <w:left w:val="none" w:sz="0" w:space="0" w:color="auto"/>
        <w:bottom w:val="none" w:sz="0" w:space="0" w:color="auto"/>
        <w:right w:val="none" w:sz="0" w:space="0" w:color="auto"/>
      </w:divBdr>
    </w:div>
    <w:div w:id="923301173">
      <w:bodyDiv w:val="1"/>
      <w:marLeft w:val="0"/>
      <w:marRight w:val="0"/>
      <w:marTop w:val="0"/>
      <w:marBottom w:val="0"/>
      <w:divBdr>
        <w:top w:val="none" w:sz="0" w:space="0" w:color="auto"/>
        <w:left w:val="none" w:sz="0" w:space="0" w:color="auto"/>
        <w:bottom w:val="none" w:sz="0" w:space="0" w:color="auto"/>
        <w:right w:val="none" w:sz="0" w:space="0" w:color="auto"/>
      </w:divBdr>
    </w:div>
    <w:div w:id="973406922">
      <w:bodyDiv w:val="1"/>
      <w:marLeft w:val="0"/>
      <w:marRight w:val="0"/>
      <w:marTop w:val="0"/>
      <w:marBottom w:val="0"/>
      <w:divBdr>
        <w:top w:val="none" w:sz="0" w:space="0" w:color="auto"/>
        <w:left w:val="none" w:sz="0" w:space="0" w:color="auto"/>
        <w:bottom w:val="none" w:sz="0" w:space="0" w:color="auto"/>
        <w:right w:val="none" w:sz="0" w:space="0" w:color="auto"/>
      </w:divBdr>
    </w:div>
    <w:div w:id="984547418">
      <w:bodyDiv w:val="1"/>
      <w:marLeft w:val="0"/>
      <w:marRight w:val="0"/>
      <w:marTop w:val="0"/>
      <w:marBottom w:val="0"/>
      <w:divBdr>
        <w:top w:val="none" w:sz="0" w:space="0" w:color="auto"/>
        <w:left w:val="none" w:sz="0" w:space="0" w:color="auto"/>
        <w:bottom w:val="none" w:sz="0" w:space="0" w:color="auto"/>
        <w:right w:val="none" w:sz="0" w:space="0" w:color="auto"/>
      </w:divBdr>
    </w:div>
    <w:div w:id="1057969312">
      <w:bodyDiv w:val="1"/>
      <w:marLeft w:val="0"/>
      <w:marRight w:val="0"/>
      <w:marTop w:val="0"/>
      <w:marBottom w:val="0"/>
      <w:divBdr>
        <w:top w:val="none" w:sz="0" w:space="0" w:color="auto"/>
        <w:left w:val="none" w:sz="0" w:space="0" w:color="auto"/>
        <w:bottom w:val="none" w:sz="0" w:space="0" w:color="auto"/>
        <w:right w:val="none" w:sz="0" w:space="0" w:color="auto"/>
      </w:divBdr>
    </w:div>
    <w:div w:id="1129586038">
      <w:bodyDiv w:val="1"/>
      <w:marLeft w:val="0"/>
      <w:marRight w:val="0"/>
      <w:marTop w:val="0"/>
      <w:marBottom w:val="0"/>
      <w:divBdr>
        <w:top w:val="none" w:sz="0" w:space="0" w:color="auto"/>
        <w:left w:val="none" w:sz="0" w:space="0" w:color="auto"/>
        <w:bottom w:val="none" w:sz="0" w:space="0" w:color="auto"/>
        <w:right w:val="none" w:sz="0" w:space="0" w:color="auto"/>
      </w:divBdr>
    </w:div>
    <w:div w:id="1217545528">
      <w:bodyDiv w:val="1"/>
      <w:marLeft w:val="0"/>
      <w:marRight w:val="0"/>
      <w:marTop w:val="0"/>
      <w:marBottom w:val="0"/>
      <w:divBdr>
        <w:top w:val="none" w:sz="0" w:space="0" w:color="auto"/>
        <w:left w:val="none" w:sz="0" w:space="0" w:color="auto"/>
        <w:bottom w:val="none" w:sz="0" w:space="0" w:color="auto"/>
        <w:right w:val="none" w:sz="0" w:space="0" w:color="auto"/>
      </w:divBdr>
    </w:div>
    <w:div w:id="1353216456">
      <w:bodyDiv w:val="1"/>
      <w:marLeft w:val="0"/>
      <w:marRight w:val="0"/>
      <w:marTop w:val="0"/>
      <w:marBottom w:val="0"/>
      <w:divBdr>
        <w:top w:val="none" w:sz="0" w:space="0" w:color="auto"/>
        <w:left w:val="none" w:sz="0" w:space="0" w:color="auto"/>
        <w:bottom w:val="none" w:sz="0" w:space="0" w:color="auto"/>
        <w:right w:val="none" w:sz="0" w:space="0" w:color="auto"/>
      </w:divBdr>
    </w:div>
    <w:div w:id="1424644291">
      <w:bodyDiv w:val="1"/>
      <w:marLeft w:val="0"/>
      <w:marRight w:val="0"/>
      <w:marTop w:val="0"/>
      <w:marBottom w:val="0"/>
      <w:divBdr>
        <w:top w:val="none" w:sz="0" w:space="0" w:color="auto"/>
        <w:left w:val="none" w:sz="0" w:space="0" w:color="auto"/>
        <w:bottom w:val="none" w:sz="0" w:space="0" w:color="auto"/>
        <w:right w:val="none" w:sz="0" w:space="0" w:color="auto"/>
      </w:divBdr>
    </w:div>
    <w:div w:id="1434201299">
      <w:bodyDiv w:val="1"/>
      <w:marLeft w:val="0"/>
      <w:marRight w:val="0"/>
      <w:marTop w:val="0"/>
      <w:marBottom w:val="0"/>
      <w:divBdr>
        <w:top w:val="none" w:sz="0" w:space="0" w:color="auto"/>
        <w:left w:val="none" w:sz="0" w:space="0" w:color="auto"/>
        <w:bottom w:val="none" w:sz="0" w:space="0" w:color="auto"/>
        <w:right w:val="none" w:sz="0" w:space="0" w:color="auto"/>
      </w:divBdr>
    </w:div>
    <w:div w:id="1470173503">
      <w:bodyDiv w:val="1"/>
      <w:marLeft w:val="0"/>
      <w:marRight w:val="0"/>
      <w:marTop w:val="0"/>
      <w:marBottom w:val="0"/>
      <w:divBdr>
        <w:top w:val="none" w:sz="0" w:space="0" w:color="auto"/>
        <w:left w:val="none" w:sz="0" w:space="0" w:color="auto"/>
        <w:bottom w:val="none" w:sz="0" w:space="0" w:color="auto"/>
        <w:right w:val="none" w:sz="0" w:space="0" w:color="auto"/>
      </w:divBdr>
    </w:div>
    <w:div w:id="1503397967">
      <w:bodyDiv w:val="1"/>
      <w:marLeft w:val="0"/>
      <w:marRight w:val="0"/>
      <w:marTop w:val="0"/>
      <w:marBottom w:val="0"/>
      <w:divBdr>
        <w:top w:val="none" w:sz="0" w:space="0" w:color="auto"/>
        <w:left w:val="none" w:sz="0" w:space="0" w:color="auto"/>
        <w:bottom w:val="none" w:sz="0" w:space="0" w:color="auto"/>
        <w:right w:val="none" w:sz="0" w:space="0" w:color="auto"/>
      </w:divBdr>
    </w:div>
    <w:div w:id="1560434659">
      <w:bodyDiv w:val="1"/>
      <w:marLeft w:val="0"/>
      <w:marRight w:val="0"/>
      <w:marTop w:val="0"/>
      <w:marBottom w:val="0"/>
      <w:divBdr>
        <w:top w:val="none" w:sz="0" w:space="0" w:color="auto"/>
        <w:left w:val="none" w:sz="0" w:space="0" w:color="auto"/>
        <w:bottom w:val="none" w:sz="0" w:space="0" w:color="auto"/>
        <w:right w:val="none" w:sz="0" w:space="0" w:color="auto"/>
      </w:divBdr>
    </w:div>
    <w:div w:id="1631978467">
      <w:bodyDiv w:val="1"/>
      <w:marLeft w:val="0"/>
      <w:marRight w:val="0"/>
      <w:marTop w:val="0"/>
      <w:marBottom w:val="0"/>
      <w:divBdr>
        <w:top w:val="none" w:sz="0" w:space="0" w:color="auto"/>
        <w:left w:val="none" w:sz="0" w:space="0" w:color="auto"/>
        <w:bottom w:val="none" w:sz="0" w:space="0" w:color="auto"/>
        <w:right w:val="none" w:sz="0" w:space="0" w:color="auto"/>
      </w:divBdr>
    </w:div>
    <w:div w:id="1652559545">
      <w:bodyDiv w:val="1"/>
      <w:marLeft w:val="0"/>
      <w:marRight w:val="0"/>
      <w:marTop w:val="0"/>
      <w:marBottom w:val="0"/>
      <w:divBdr>
        <w:top w:val="none" w:sz="0" w:space="0" w:color="auto"/>
        <w:left w:val="none" w:sz="0" w:space="0" w:color="auto"/>
        <w:bottom w:val="none" w:sz="0" w:space="0" w:color="auto"/>
        <w:right w:val="none" w:sz="0" w:space="0" w:color="auto"/>
      </w:divBdr>
    </w:div>
    <w:div w:id="1696035087">
      <w:bodyDiv w:val="1"/>
      <w:marLeft w:val="0"/>
      <w:marRight w:val="0"/>
      <w:marTop w:val="0"/>
      <w:marBottom w:val="0"/>
      <w:divBdr>
        <w:top w:val="none" w:sz="0" w:space="0" w:color="auto"/>
        <w:left w:val="none" w:sz="0" w:space="0" w:color="auto"/>
        <w:bottom w:val="none" w:sz="0" w:space="0" w:color="auto"/>
        <w:right w:val="none" w:sz="0" w:space="0" w:color="auto"/>
      </w:divBdr>
    </w:div>
    <w:div w:id="1759446991">
      <w:bodyDiv w:val="1"/>
      <w:marLeft w:val="0"/>
      <w:marRight w:val="0"/>
      <w:marTop w:val="0"/>
      <w:marBottom w:val="0"/>
      <w:divBdr>
        <w:top w:val="none" w:sz="0" w:space="0" w:color="auto"/>
        <w:left w:val="none" w:sz="0" w:space="0" w:color="auto"/>
        <w:bottom w:val="none" w:sz="0" w:space="0" w:color="auto"/>
        <w:right w:val="none" w:sz="0" w:space="0" w:color="auto"/>
      </w:divBdr>
    </w:div>
    <w:div w:id="1952320289">
      <w:bodyDiv w:val="1"/>
      <w:marLeft w:val="0"/>
      <w:marRight w:val="0"/>
      <w:marTop w:val="0"/>
      <w:marBottom w:val="0"/>
      <w:divBdr>
        <w:top w:val="none" w:sz="0" w:space="0" w:color="auto"/>
        <w:left w:val="none" w:sz="0" w:space="0" w:color="auto"/>
        <w:bottom w:val="none" w:sz="0" w:space="0" w:color="auto"/>
        <w:right w:val="none" w:sz="0" w:space="0" w:color="auto"/>
      </w:divBdr>
    </w:div>
    <w:div w:id="2000772089">
      <w:bodyDiv w:val="1"/>
      <w:marLeft w:val="0"/>
      <w:marRight w:val="0"/>
      <w:marTop w:val="0"/>
      <w:marBottom w:val="0"/>
      <w:divBdr>
        <w:top w:val="none" w:sz="0" w:space="0" w:color="auto"/>
        <w:left w:val="none" w:sz="0" w:space="0" w:color="auto"/>
        <w:bottom w:val="none" w:sz="0" w:space="0" w:color="auto"/>
        <w:right w:val="none" w:sz="0" w:space="0" w:color="auto"/>
      </w:divBdr>
    </w:div>
    <w:div w:id="2001275168">
      <w:bodyDiv w:val="1"/>
      <w:marLeft w:val="0"/>
      <w:marRight w:val="0"/>
      <w:marTop w:val="0"/>
      <w:marBottom w:val="0"/>
      <w:divBdr>
        <w:top w:val="none" w:sz="0" w:space="0" w:color="auto"/>
        <w:left w:val="none" w:sz="0" w:space="0" w:color="auto"/>
        <w:bottom w:val="none" w:sz="0" w:space="0" w:color="auto"/>
        <w:right w:val="none" w:sz="0" w:space="0" w:color="auto"/>
      </w:divBdr>
    </w:div>
    <w:div w:id="209836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dp.al"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hyperlink" Target="http://www.idp.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E5ECD-C59C-4546-B115-81BBF773C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7237</Words>
  <Characters>41254</Characters>
  <Application>Microsoft Office Word</Application>
  <DocSecurity>0</DocSecurity>
  <Lines>343</Lines>
  <Paragraphs>96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2025-02-24T14:24:00Z</cp:lastPrinted>
  <dcterms:created xsi:type="dcterms:W3CDTF">2025-09-29T09:13:00Z</dcterms:created>
  <dcterms:modified xsi:type="dcterms:W3CDTF">2025-09-29T09:20:00Z</dcterms:modified>
</cp:coreProperties>
</file>