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F5C" w:rsidRDefault="00F53F5C" w:rsidP="00F53F5C">
      <w:pPr>
        <w:jc w:val="both"/>
        <w:rPr>
          <w:rFonts w:ascii="Times New Roman" w:hAnsi="Times New Roman" w:cs="Times New Roman"/>
          <w:sz w:val="24"/>
          <w:szCs w:val="24"/>
        </w:rPr>
      </w:pPr>
      <w:r w:rsidRPr="00EA6A78">
        <w:rPr>
          <w:rFonts w:ascii="Times New Roman" w:hAnsi="Times New Roman" w:cs="Times New Roman"/>
          <w:sz w:val="24"/>
          <w:szCs w:val="24"/>
        </w:rPr>
        <w:t>Në lidhje me pyetjen</w:t>
      </w:r>
      <w:r>
        <w:rPr>
          <w:rFonts w:ascii="Times New Roman" w:hAnsi="Times New Roman" w:cs="Times New Roman"/>
          <w:sz w:val="24"/>
          <w:szCs w:val="24"/>
        </w:rPr>
        <w:t xml:space="preserve"> 1 dhe 2 të kërkesës për informim</w:t>
      </w:r>
      <w:r w:rsidRPr="00EA6A78">
        <w:rPr>
          <w:rFonts w:ascii="Times New Roman" w:hAnsi="Times New Roman" w:cs="Times New Roman"/>
          <w:sz w:val="24"/>
          <w:szCs w:val="24"/>
        </w:rPr>
        <w:t xml:space="preserve">, ju </w:t>
      </w:r>
      <w:r>
        <w:rPr>
          <w:rFonts w:ascii="Times New Roman" w:hAnsi="Times New Roman" w:cs="Times New Roman"/>
          <w:sz w:val="24"/>
          <w:szCs w:val="24"/>
        </w:rPr>
        <w:t>sqarojmë</w:t>
      </w:r>
      <w:r w:rsidRPr="00EA6A78">
        <w:rPr>
          <w:rFonts w:ascii="Times New Roman" w:hAnsi="Times New Roman" w:cs="Times New Roman"/>
          <w:sz w:val="24"/>
          <w:szCs w:val="24"/>
        </w:rPr>
        <w:t xml:space="preserve"> se </w:t>
      </w:r>
      <w:r>
        <w:rPr>
          <w:rFonts w:ascii="Times New Roman" w:hAnsi="Times New Roman" w:cs="Times New Roman"/>
          <w:sz w:val="24"/>
          <w:szCs w:val="24"/>
        </w:rPr>
        <w:t xml:space="preserve">Zyra e Komisionerit ka publikuar raportin vjetor 2023 ku paraqet veprimtarinë institucionale përgjatë vitit të kaluar. Në këtë raport, të cilin e gjeni në lidhjen </w:t>
      </w:r>
      <w:hyperlink r:id="rId4" w:history="1">
        <w:r w:rsidRPr="007E70AB">
          <w:rPr>
            <w:rStyle w:val="Hyperlink"/>
            <w:rFonts w:ascii="Times New Roman" w:hAnsi="Times New Roman" w:cs="Times New Roman"/>
            <w:sz w:val="24"/>
            <w:szCs w:val="24"/>
          </w:rPr>
          <w:t>https://idp.al/</w:t>
        </w:r>
        <w:r w:rsidRPr="00221381">
          <w:rPr>
            <w:rStyle w:val="Hyperlink"/>
            <w:rFonts w:ascii="Times New Roman" w:hAnsi="Times New Roman" w:cs="Times New Roman"/>
            <w:sz w:val="24"/>
            <w:szCs w:val="24"/>
          </w:rPr>
          <w:t>w</w:t>
        </w:r>
        <w:r w:rsidRPr="007E70AB">
          <w:rPr>
            <w:rStyle w:val="Hyperlink"/>
            <w:rFonts w:ascii="Times New Roman" w:hAnsi="Times New Roman" w:cs="Times New Roman"/>
            <w:sz w:val="24"/>
            <w:szCs w:val="24"/>
          </w:rPr>
          <w:t>p-content/uploads/2024/03/Raporti_2023.pdf</w:t>
        </w:r>
      </w:hyperlink>
      <w:r>
        <w:rPr>
          <w:rFonts w:ascii="Times New Roman" w:hAnsi="Times New Roman" w:cs="Times New Roman"/>
          <w:sz w:val="24"/>
          <w:szCs w:val="24"/>
        </w:rPr>
        <w:t xml:space="preserve"> janë publikuar të dhënat e monitorimit të transparencës proaktive të autoriteteve publike, në kapitullin dedikuar të drejtës për informim. </w:t>
      </w:r>
    </w:p>
    <w:p w:rsidR="00F53F5C" w:rsidRPr="00695382" w:rsidRDefault="00F53F5C" w:rsidP="00F53F5C">
      <w:pPr>
        <w:jc w:val="both"/>
        <w:rPr>
          <w:rFonts w:ascii="Times New Roman" w:hAnsi="Times New Roman" w:cs="Times New Roman"/>
          <w:sz w:val="24"/>
          <w:szCs w:val="24"/>
        </w:rPr>
      </w:pPr>
      <w:r>
        <w:rPr>
          <w:rFonts w:ascii="Times New Roman" w:hAnsi="Times New Roman" w:cs="Times New Roman"/>
          <w:sz w:val="24"/>
          <w:szCs w:val="24"/>
        </w:rPr>
        <w:t xml:space="preserve">Në lidhje me pyetjen 3, ju informojmë se gjatë vitit 2023, Zyra e Komisionerit ka publikuar për të katërtin vit radhazi Indeksin e Transparencës së Autoriteteve Publike Qendrore dhe të Varësisë dhe Indeksin e Transparencës së Njësive të Vetëqeverisjes Vendore. Në lidhje me metodologjinë e përdorur si dhe renditjen e autoriteteve mund të konsultoni raportet e publikuara, në lidhjen </w:t>
      </w:r>
      <w:hyperlink r:id="rId5" w:history="1">
        <w:r w:rsidRPr="007E70AB">
          <w:rPr>
            <w:rStyle w:val="Hyperlink"/>
            <w:rFonts w:ascii="Times New Roman" w:hAnsi="Times New Roman" w:cs="Times New Roman"/>
            <w:sz w:val="24"/>
            <w:szCs w:val="24"/>
          </w:rPr>
          <w:t>https://idp.al/raporte-monitorimi/</w:t>
        </w:r>
      </w:hyperlink>
      <w:r>
        <w:rPr>
          <w:rFonts w:ascii="Times New Roman" w:hAnsi="Times New Roman" w:cs="Times New Roman"/>
          <w:sz w:val="24"/>
          <w:szCs w:val="24"/>
        </w:rPr>
        <w:t>.</w:t>
      </w:r>
    </w:p>
    <w:p w:rsidR="00F53F5C" w:rsidRDefault="00F53F5C" w:rsidP="00F53F5C">
      <w:pPr>
        <w:jc w:val="both"/>
        <w:rPr>
          <w:rFonts w:ascii="Times New Roman" w:hAnsi="Times New Roman" w:cs="Times New Roman"/>
          <w:sz w:val="24"/>
          <w:szCs w:val="24"/>
        </w:rPr>
      </w:pPr>
      <w:r>
        <w:rPr>
          <w:rFonts w:ascii="Times New Roman" w:hAnsi="Times New Roman" w:cs="Times New Roman"/>
          <w:sz w:val="24"/>
          <w:szCs w:val="24"/>
        </w:rPr>
        <w:t>Për sa i përket</w:t>
      </w:r>
      <w:r w:rsidRPr="00695382">
        <w:rPr>
          <w:rFonts w:ascii="Times New Roman" w:hAnsi="Times New Roman" w:cs="Times New Roman"/>
          <w:sz w:val="24"/>
          <w:szCs w:val="24"/>
        </w:rPr>
        <w:t xml:space="preserve"> pyetje</w:t>
      </w:r>
      <w:r>
        <w:rPr>
          <w:rFonts w:ascii="Times New Roman" w:hAnsi="Times New Roman" w:cs="Times New Roman"/>
          <w:sz w:val="24"/>
          <w:szCs w:val="24"/>
        </w:rPr>
        <w:t>s</w:t>
      </w:r>
      <w:r w:rsidRPr="00695382">
        <w:rPr>
          <w:rFonts w:ascii="Times New Roman" w:hAnsi="Times New Roman" w:cs="Times New Roman"/>
          <w:sz w:val="24"/>
          <w:szCs w:val="24"/>
        </w:rPr>
        <w:t xml:space="preserve"> 4, ju informojm</w:t>
      </w:r>
      <w:r>
        <w:rPr>
          <w:rFonts w:ascii="Times New Roman" w:hAnsi="Times New Roman" w:cs="Times New Roman"/>
          <w:sz w:val="24"/>
          <w:szCs w:val="24"/>
        </w:rPr>
        <w:t>ë</w:t>
      </w:r>
      <w:r w:rsidRPr="00695382">
        <w:rPr>
          <w:rFonts w:ascii="Times New Roman" w:hAnsi="Times New Roman" w:cs="Times New Roman"/>
          <w:sz w:val="24"/>
          <w:szCs w:val="24"/>
        </w:rPr>
        <w:t xml:space="preserve"> se Zyra e Komisionerit administroi 956 ankesa për vitin 2023 nd</w:t>
      </w:r>
      <w:r>
        <w:rPr>
          <w:rFonts w:ascii="Times New Roman" w:hAnsi="Times New Roman" w:cs="Times New Roman"/>
          <w:sz w:val="24"/>
          <w:szCs w:val="24"/>
        </w:rPr>
        <w:t>ë</w:t>
      </w:r>
      <w:r w:rsidRPr="00695382">
        <w:rPr>
          <w:rFonts w:ascii="Times New Roman" w:hAnsi="Times New Roman" w:cs="Times New Roman"/>
          <w:sz w:val="24"/>
          <w:szCs w:val="24"/>
        </w:rPr>
        <w:t>rk</w:t>
      </w:r>
      <w:r>
        <w:rPr>
          <w:rFonts w:ascii="Times New Roman" w:hAnsi="Times New Roman" w:cs="Times New Roman"/>
          <w:sz w:val="24"/>
          <w:szCs w:val="24"/>
        </w:rPr>
        <w:t>ohë</w:t>
      </w:r>
      <w:r w:rsidRPr="00695382">
        <w:rPr>
          <w:rFonts w:ascii="Times New Roman" w:hAnsi="Times New Roman" w:cs="Times New Roman"/>
          <w:sz w:val="24"/>
          <w:szCs w:val="24"/>
        </w:rPr>
        <w:t xml:space="preserve"> n</w:t>
      </w:r>
      <w:r>
        <w:rPr>
          <w:rFonts w:ascii="Times New Roman" w:hAnsi="Times New Roman" w:cs="Times New Roman"/>
          <w:sz w:val="24"/>
          <w:szCs w:val="24"/>
        </w:rPr>
        <w:t>ë</w:t>
      </w:r>
      <w:r w:rsidRPr="00695382">
        <w:rPr>
          <w:rFonts w:ascii="Times New Roman" w:hAnsi="Times New Roman" w:cs="Times New Roman"/>
          <w:sz w:val="24"/>
          <w:szCs w:val="24"/>
        </w:rPr>
        <w:t xml:space="preserve"> periudh</w:t>
      </w:r>
      <w:r>
        <w:rPr>
          <w:rFonts w:ascii="Times New Roman" w:hAnsi="Times New Roman" w:cs="Times New Roman"/>
          <w:sz w:val="24"/>
          <w:szCs w:val="24"/>
        </w:rPr>
        <w:t>ë</w:t>
      </w:r>
      <w:r w:rsidRPr="00695382">
        <w:rPr>
          <w:rFonts w:ascii="Times New Roman" w:hAnsi="Times New Roman" w:cs="Times New Roman"/>
          <w:sz w:val="24"/>
          <w:szCs w:val="24"/>
        </w:rPr>
        <w:t>n janar –</w:t>
      </w:r>
      <w:r>
        <w:rPr>
          <w:rFonts w:ascii="Times New Roman" w:hAnsi="Times New Roman" w:cs="Times New Roman"/>
          <w:sz w:val="24"/>
          <w:szCs w:val="24"/>
        </w:rPr>
        <w:t xml:space="preserve"> maj 2024 </w:t>
      </w:r>
      <w:r w:rsidRPr="00695382">
        <w:rPr>
          <w:rFonts w:ascii="Times New Roman" w:hAnsi="Times New Roman" w:cs="Times New Roman"/>
          <w:sz w:val="24"/>
          <w:szCs w:val="24"/>
        </w:rPr>
        <w:t>administroi 473 ankesa në zbatim të ligjit 119/2014 “Për të Drejtën e Informimit”, i ndryshuar</w:t>
      </w:r>
      <w:r>
        <w:rPr>
          <w:rFonts w:ascii="Times New Roman" w:hAnsi="Times New Roman" w:cs="Times New Roman"/>
          <w:sz w:val="24"/>
          <w:szCs w:val="24"/>
        </w:rPr>
        <w:t xml:space="preserve"> (</w:t>
      </w:r>
      <w:r w:rsidRPr="00E710B7">
        <w:rPr>
          <w:rFonts w:ascii="Times New Roman" w:hAnsi="Times New Roman" w:cs="Times New Roman"/>
          <w:sz w:val="24"/>
          <w:szCs w:val="24"/>
        </w:rPr>
        <w:t>në vijim</w:t>
      </w:r>
      <w:r>
        <w:rPr>
          <w:rFonts w:ascii="Times New Roman" w:hAnsi="Times New Roman" w:cs="Times New Roman"/>
          <w:sz w:val="24"/>
          <w:szCs w:val="24"/>
        </w:rPr>
        <w:t xml:space="preserve"> LDI)</w:t>
      </w:r>
      <w:r w:rsidRPr="00695382">
        <w:rPr>
          <w:rFonts w:ascii="Times New Roman" w:hAnsi="Times New Roman" w:cs="Times New Roman"/>
          <w:sz w:val="24"/>
          <w:szCs w:val="24"/>
        </w:rPr>
        <w:t>.</w:t>
      </w:r>
    </w:p>
    <w:p w:rsidR="00F53F5C" w:rsidRPr="00221381" w:rsidRDefault="00F53F5C" w:rsidP="00F53F5C">
      <w:pPr>
        <w:jc w:val="both"/>
        <w:rPr>
          <w:rFonts w:ascii="Times New Roman" w:hAnsi="Times New Roman" w:cs="Times New Roman"/>
          <w:sz w:val="24"/>
          <w:szCs w:val="24"/>
        </w:rPr>
      </w:pPr>
      <w:r w:rsidRPr="00221381">
        <w:rPr>
          <w:rFonts w:ascii="Times New Roman" w:hAnsi="Times New Roman" w:cs="Times New Roman"/>
          <w:sz w:val="24"/>
          <w:szCs w:val="24"/>
        </w:rPr>
        <w:t xml:space="preserve">Në lidhje me pyetjen 5, ju informojmë se bazuar në nenin 3 të  LDI “ </w:t>
      </w:r>
      <w:r w:rsidRPr="00221381">
        <w:rPr>
          <w:rFonts w:ascii="Times New Roman" w:hAnsi="Times New Roman" w:cs="Times New Roman"/>
          <w:i/>
          <w:sz w:val="24"/>
          <w:szCs w:val="24"/>
        </w:rPr>
        <w:t>Çdo person gëzon të drejtën e njohjes me informacionin publik, pa u detyruar të shpjegojë motivet. Autoriteti publik është i detyruar të informojë kërkuesin nëse ka ose jo në zotërim informacionin e kërkuar. Çdo person ka të drejtë të njihet me informacionin publik, nëpërmjet dokumentit origjinal ose duke marrë një kopje të tij në formën ose formatin që mundëson akses të plotë në përmbajtjen e dokumentit. Informacioni publik që i është dhënë një personi, nuk mund t’i refuzohet asnjë personi tjetër që e kërkon atë, me përjashtim të rastit kur informacioni përmban të dhëna personale të subjektit, në përputhje me nenin 17 të këtij ligji”</w:t>
      </w:r>
      <w:r w:rsidRPr="00221381">
        <w:rPr>
          <w:rFonts w:ascii="Times New Roman" w:hAnsi="Times New Roman" w:cs="Times New Roman"/>
          <w:sz w:val="24"/>
          <w:szCs w:val="24"/>
        </w:rPr>
        <w:t>.</w:t>
      </w:r>
      <w:r w:rsidRPr="008A758C">
        <w:rPr>
          <w:rFonts w:ascii="Times New Roman" w:hAnsi="Times New Roman" w:cs="Times New Roman"/>
          <w:sz w:val="24"/>
          <w:szCs w:val="24"/>
        </w:rPr>
        <w:t xml:space="preserve"> </w:t>
      </w:r>
      <w:r>
        <w:rPr>
          <w:rFonts w:ascii="Times New Roman" w:hAnsi="Times New Roman" w:cs="Times New Roman"/>
          <w:sz w:val="24"/>
          <w:szCs w:val="24"/>
        </w:rPr>
        <w:t xml:space="preserve">Në faqen zyrtare të Komisionerit gjeni gjithashtu të publikuara të gjitha raportet vjetore dhe konkretisht në lidhjen </w:t>
      </w:r>
      <w:hyperlink r:id="rId6" w:history="1">
        <w:r w:rsidRPr="007E70AB">
          <w:rPr>
            <w:rStyle w:val="Hyperlink"/>
            <w:rFonts w:ascii="Times New Roman" w:hAnsi="Times New Roman" w:cs="Times New Roman"/>
            <w:sz w:val="24"/>
            <w:szCs w:val="24"/>
          </w:rPr>
          <w:t>https://idp.al/raporte-vjetore/</w:t>
        </w:r>
      </w:hyperlink>
      <w:r>
        <w:rPr>
          <w:rFonts w:ascii="Times New Roman" w:hAnsi="Times New Roman" w:cs="Times New Roman"/>
          <w:sz w:val="24"/>
          <w:szCs w:val="24"/>
        </w:rPr>
        <w:t>.</w:t>
      </w:r>
      <w:r w:rsidRPr="00221381">
        <w:rPr>
          <w:rFonts w:ascii="Times New Roman" w:hAnsi="Times New Roman" w:cs="Times New Roman"/>
          <w:sz w:val="24"/>
          <w:szCs w:val="24"/>
        </w:rPr>
        <w:t xml:space="preserve"> LDI </w:t>
      </w:r>
      <w:r>
        <w:rPr>
          <w:rFonts w:ascii="Times New Roman" w:hAnsi="Times New Roman" w:cs="Times New Roman"/>
          <w:sz w:val="24"/>
          <w:szCs w:val="24"/>
        </w:rPr>
        <w:t>parashikon detyrimin që çdo autoritet publik</w:t>
      </w:r>
      <w:r w:rsidRPr="00221381">
        <w:rPr>
          <w:rFonts w:ascii="Times New Roman" w:hAnsi="Times New Roman" w:cs="Times New Roman"/>
          <w:sz w:val="24"/>
          <w:szCs w:val="24"/>
        </w:rPr>
        <w:t xml:space="preserve"> </w:t>
      </w:r>
      <w:r>
        <w:rPr>
          <w:rFonts w:ascii="Times New Roman" w:hAnsi="Times New Roman" w:cs="Times New Roman"/>
          <w:sz w:val="24"/>
          <w:szCs w:val="24"/>
        </w:rPr>
        <w:t xml:space="preserve">të publikojë </w:t>
      </w:r>
      <w:r w:rsidRPr="00221381">
        <w:rPr>
          <w:rFonts w:ascii="Times New Roman" w:hAnsi="Times New Roman" w:cs="Times New Roman"/>
          <w:sz w:val="24"/>
          <w:szCs w:val="24"/>
        </w:rPr>
        <w:t>“</w:t>
      </w:r>
      <w:r w:rsidRPr="00221381">
        <w:rPr>
          <w:rFonts w:ascii="Times New Roman" w:hAnsi="Times New Roman" w:cs="Times New Roman"/>
          <w:i/>
          <w:sz w:val="24"/>
          <w:szCs w:val="24"/>
        </w:rPr>
        <w:t>Programet model të transparencës</w:t>
      </w:r>
      <w:r>
        <w:rPr>
          <w:rFonts w:ascii="Times New Roman" w:hAnsi="Times New Roman" w:cs="Times New Roman"/>
          <w:sz w:val="24"/>
          <w:szCs w:val="24"/>
        </w:rPr>
        <w:t xml:space="preserve">” dhe </w:t>
      </w:r>
      <w:r w:rsidRPr="00221381">
        <w:rPr>
          <w:rFonts w:ascii="Times New Roman" w:hAnsi="Times New Roman" w:cs="Times New Roman"/>
          <w:sz w:val="24"/>
          <w:szCs w:val="24"/>
        </w:rPr>
        <w:t>“</w:t>
      </w:r>
      <w:r w:rsidRPr="00221381">
        <w:rPr>
          <w:rFonts w:ascii="Times New Roman" w:hAnsi="Times New Roman" w:cs="Times New Roman"/>
          <w:i/>
          <w:sz w:val="24"/>
          <w:szCs w:val="24"/>
        </w:rPr>
        <w:t>Kategoritë e informacionit që bëhet publik pa kërkesë</w:t>
      </w:r>
      <w:r w:rsidRPr="00221381">
        <w:rPr>
          <w:rFonts w:ascii="Times New Roman" w:hAnsi="Times New Roman" w:cs="Times New Roman"/>
          <w:sz w:val="24"/>
          <w:szCs w:val="24"/>
        </w:rPr>
        <w:t>”</w:t>
      </w:r>
      <w:r>
        <w:rPr>
          <w:rFonts w:ascii="Times New Roman" w:hAnsi="Times New Roman" w:cs="Times New Roman"/>
          <w:sz w:val="24"/>
          <w:szCs w:val="24"/>
        </w:rPr>
        <w:t>. Gjithashtu në këtë ligj përcaktohet dhe</w:t>
      </w:r>
      <w:r w:rsidRPr="00221381">
        <w:rPr>
          <w:rFonts w:ascii="Times New Roman" w:hAnsi="Times New Roman" w:cs="Times New Roman"/>
          <w:sz w:val="24"/>
          <w:szCs w:val="24"/>
        </w:rPr>
        <w:t xml:space="preserve"> “</w:t>
      </w:r>
      <w:r w:rsidRPr="00221381">
        <w:rPr>
          <w:rFonts w:ascii="Times New Roman" w:hAnsi="Times New Roman" w:cs="Times New Roman"/>
          <w:i/>
          <w:sz w:val="24"/>
          <w:szCs w:val="24"/>
        </w:rPr>
        <w:t>Mënyrat e dhënies së informacionit</w:t>
      </w:r>
      <w:r w:rsidRPr="00221381">
        <w:rPr>
          <w:rFonts w:ascii="Times New Roman" w:hAnsi="Times New Roman" w:cs="Times New Roman"/>
          <w:sz w:val="24"/>
          <w:szCs w:val="24"/>
        </w:rPr>
        <w:t>”</w:t>
      </w:r>
      <w:r>
        <w:rPr>
          <w:rFonts w:ascii="Times New Roman" w:hAnsi="Times New Roman" w:cs="Times New Roman"/>
          <w:sz w:val="24"/>
          <w:szCs w:val="24"/>
        </w:rPr>
        <w:t xml:space="preserve">, </w:t>
      </w:r>
      <w:r w:rsidRPr="00221381">
        <w:rPr>
          <w:rFonts w:ascii="Times New Roman" w:hAnsi="Times New Roman" w:cs="Times New Roman"/>
          <w:sz w:val="24"/>
          <w:szCs w:val="24"/>
        </w:rPr>
        <w:t>“</w:t>
      </w:r>
      <w:r w:rsidRPr="00221381">
        <w:rPr>
          <w:rFonts w:ascii="Times New Roman" w:hAnsi="Times New Roman" w:cs="Times New Roman"/>
          <w:i/>
          <w:sz w:val="24"/>
          <w:szCs w:val="24"/>
        </w:rPr>
        <w:t>Afati për marrjen e informacionit</w:t>
      </w:r>
      <w:r w:rsidRPr="00221381">
        <w:rPr>
          <w:rFonts w:ascii="Times New Roman" w:hAnsi="Times New Roman" w:cs="Times New Roman"/>
          <w:sz w:val="24"/>
          <w:szCs w:val="24"/>
        </w:rPr>
        <w:t>”, “</w:t>
      </w:r>
      <w:r w:rsidRPr="00221381">
        <w:rPr>
          <w:rFonts w:ascii="Times New Roman" w:hAnsi="Times New Roman" w:cs="Times New Roman"/>
          <w:i/>
          <w:sz w:val="24"/>
          <w:szCs w:val="24"/>
        </w:rPr>
        <w:t>Kufizimet e të drejtës për informim</w:t>
      </w:r>
      <w:r w:rsidRPr="00221381">
        <w:rPr>
          <w:rFonts w:ascii="Times New Roman" w:hAnsi="Times New Roman" w:cs="Times New Roman"/>
          <w:sz w:val="24"/>
          <w:szCs w:val="24"/>
        </w:rPr>
        <w:t>”, “</w:t>
      </w:r>
      <w:r w:rsidRPr="00221381">
        <w:rPr>
          <w:rFonts w:ascii="Times New Roman" w:hAnsi="Times New Roman" w:cs="Times New Roman"/>
          <w:i/>
          <w:sz w:val="24"/>
          <w:szCs w:val="24"/>
        </w:rPr>
        <w:t>Procedurat për shqyrtimin e ankesave</w:t>
      </w:r>
      <w:r w:rsidRPr="00221381">
        <w:rPr>
          <w:rFonts w:ascii="Times New Roman" w:hAnsi="Times New Roman" w:cs="Times New Roman"/>
          <w:sz w:val="24"/>
          <w:szCs w:val="24"/>
        </w:rPr>
        <w:t>”</w:t>
      </w:r>
      <w:r>
        <w:rPr>
          <w:rFonts w:ascii="Times New Roman" w:hAnsi="Times New Roman" w:cs="Times New Roman"/>
          <w:sz w:val="24"/>
          <w:szCs w:val="24"/>
        </w:rPr>
        <w:t>,</w:t>
      </w:r>
      <w:r w:rsidRPr="00221381">
        <w:rPr>
          <w:rFonts w:ascii="Times New Roman" w:hAnsi="Times New Roman" w:cs="Times New Roman"/>
          <w:sz w:val="24"/>
          <w:szCs w:val="24"/>
        </w:rPr>
        <w:t xml:space="preserve"> “</w:t>
      </w:r>
      <w:r w:rsidRPr="00221381">
        <w:rPr>
          <w:rFonts w:ascii="Times New Roman" w:hAnsi="Times New Roman" w:cs="Times New Roman"/>
          <w:i/>
          <w:sz w:val="24"/>
          <w:szCs w:val="24"/>
        </w:rPr>
        <w:t>Kompetencat e Komisionerit</w:t>
      </w:r>
      <w:r w:rsidRPr="00221381">
        <w:rPr>
          <w:rFonts w:ascii="Times New Roman" w:hAnsi="Times New Roman" w:cs="Times New Roman"/>
          <w:sz w:val="24"/>
          <w:szCs w:val="24"/>
        </w:rPr>
        <w:t>”, “</w:t>
      </w:r>
      <w:r w:rsidRPr="00221381">
        <w:rPr>
          <w:rFonts w:ascii="Times New Roman" w:hAnsi="Times New Roman" w:cs="Times New Roman"/>
          <w:i/>
          <w:sz w:val="24"/>
          <w:szCs w:val="24"/>
        </w:rPr>
        <w:t>Sanksionet administrative</w:t>
      </w:r>
      <w:r w:rsidRPr="00221381">
        <w:rPr>
          <w:rFonts w:ascii="Times New Roman" w:hAnsi="Times New Roman" w:cs="Times New Roman"/>
          <w:sz w:val="24"/>
          <w:szCs w:val="24"/>
        </w:rPr>
        <w:t xml:space="preserve">”, etj. </w:t>
      </w:r>
    </w:p>
    <w:p w:rsidR="00F53F5C" w:rsidRDefault="00F53F5C" w:rsidP="00F53F5C">
      <w:pPr>
        <w:spacing w:after="0"/>
        <w:jc w:val="both"/>
        <w:rPr>
          <w:rFonts w:ascii="Times New Roman" w:hAnsi="Times New Roman" w:cs="Times New Roman"/>
          <w:bCs/>
          <w:sz w:val="24"/>
          <w:szCs w:val="24"/>
          <w:shd w:val="clear" w:color="auto" w:fill="F9F9F9"/>
        </w:rPr>
      </w:pPr>
      <w:r w:rsidRPr="00221381">
        <w:rPr>
          <w:rFonts w:ascii="Times New Roman" w:hAnsi="Times New Roman" w:cs="Times New Roman"/>
          <w:bCs/>
          <w:sz w:val="24"/>
          <w:szCs w:val="24"/>
          <w:shd w:val="clear" w:color="auto" w:fill="F9F9F9"/>
        </w:rPr>
        <w:t>Në lidhje me pyetjen 6 sqarojmë se bazuar shkronjën f) të nenit 9/1 të LDI “</w:t>
      </w:r>
      <w:r w:rsidRPr="00221381">
        <w:rPr>
          <w:rFonts w:ascii="Times New Roman" w:hAnsi="Times New Roman" w:cs="Times New Roman"/>
          <w:i/>
          <w:sz w:val="24"/>
          <w:szCs w:val="24"/>
        </w:rPr>
        <w:t>Komisioneri  bën rekomandime për autoritetet publike lidhur me konceptimin dhe zbatimin e programeve institucionale të transparencës</w:t>
      </w:r>
      <w:r w:rsidRPr="00221381">
        <w:rPr>
          <w:rFonts w:ascii="Times New Roman" w:hAnsi="Times New Roman" w:cs="Times New Roman"/>
          <w:sz w:val="24"/>
          <w:szCs w:val="24"/>
        </w:rPr>
        <w:t xml:space="preserve">”. </w:t>
      </w:r>
      <w:r w:rsidRPr="00221381">
        <w:rPr>
          <w:rFonts w:ascii="Times New Roman" w:hAnsi="Times New Roman" w:cs="Times New Roman"/>
          <w:bCs/>
          <w:sz w:val="24"/>
          <w:szCs w:val="24"/>
          <w:shd w:val="clear" w:color="auto" w:fill="F9F9F9"/>
        </w:rPr>
        <w:t xml:space="preserve"> Rekomandimet e Zyrës së Komisionerit në zbatim të LDI i gjeni në lidhjen </w:t>
      </w:r>
      <w:hyperlink r:id="rId7" w:history="1">
        <w:r w:rsidRPr="00221381">
          <w:rPr>
            <w:rStyle w:val="Hyperlink"/>
            <w:rFonts w:ascii="Times New Roman" w:hAnsi="Times New Roman" w:cs="Times New Roman"/>
            <w:bCs/>
            <w:sz w:val="24"/>
            <w:szCs w:val="24"/>
            <w:shd w:val="clear" w:color="auto" w:fill="F9F9F9"/>
          </w:rPr>
          <w:t>https://idp.al/rekomandime/</w:t>
        </w:r>
      </w:hyperlink>
      <w:r w:rsidRPr="00221381">
        <w:rPr>
          <w:rFonts w:ascii="Times New Roman" w:hAnsi="Times New Roman" w:cs="Times New Roman"/>
          <w:bCs/>
          <w:sz w:val="24"/>
          <w:szCs w:val="24"/>
          <w:shd w:val="clear" w:color="auto" w:fill="F9F9F9"/>
        </w:rPr>
        <w:t>.</w:t>
      </w:r>
      <w:r>
        <w:rPr>
          <w:rFonts w:ascii="Times New Roman" w:hAnsi="Times New Roman" w:cs="Times New Roman"/>
          <w:bCs/>
          <w:sz w:val="24"/>
          <w:szCs w:val="24"/>
          <w:shd w:val="clear" w:color="auto" w:fill="F9F9F9"/>
        </w:rPr>
        <w:t xml:space="preserve"> </w:t>
      </w:r>
    </w:p>
    <w:p w:rsidR="00F53F5C" w:rsidRPr="00D324EE" w:rsidRDefault="00F53F5C" w:rsidP="00F53F5C">
      <w:pPr>
        <w:spacing w:after="0"/>
        <w:jc w:val="both"/>
        <w:rPr>
          <w:rFonts w:ascii="Times New Roman" w:hAnsi="Times New Roman" w:cs="Times New Roman"/>
          <w:bCs/>
          <w:sz w:val="24"/>
          <w:szCs w:val="24"/>
          <w:shd w:val="clear" w:color="auto" w:fill="F9F9F9"/>
        </w:rPr>
      </w:pPr>
      <w:r w:rsidRPr="00D324EE">
        <w:rPr>
          <w:rFonts w:ascii="Times New Roman" w:hAnsi="Times New Roman" w:cs="Times New Roman"/>
          <w:bCs/>
          <w:sz w:val="24"/>
          <w:szCs w:val="24"/>
          <w:shd w:val="clear" w:color="auto" w:fill="F9F9F9"/>
        </w:rPr>
        <w:t>Për konsolidimin e një mjedisi sa më të hapur e transparent pë</w:t>
      </w:r>
      <w:r>
        <w:rPr>
          <w:rFonts w:ascii="Times New Roman" w:hAnsi="Times New Roman" w:cs="Times New Roman"/>
          <w:bCs/>
          <w:sz w:val="24"/>
          <w:szCs w:val="24"/>
          <w:shd w:val="clear" w:color="auto" w:fill="F9F9F9"/>
        </w:rPr>
        <w:t xml:space="preserve">r publikun, Zyra e Komisionerit </w:t>
      </w:r>
      <w:r w:rsidRPr="00D324EE">
        <w:rPr>
          <w:rFonts w:ascii="Times New Roman" w:hAnsi="Times New Roman" w:cs="Times New Roman"/>
          <w:bCs/>
          <w:sz w:val="24"/>
          <w:szCs w:val="24"/>
          <w:shd w:val="clear" w:color="auto" w:fill="F9F9F9"/>
        </w:rPr>
        <w:t>miratoi Rekomandimin për zbatimin e programit institucional të transparencës t</w:t>
      </w:r>
      <w:r>
        <w:rPr>
          <w:rFonts w:ascii="Times New Roman" w:hAnsi="Times New Roman" w:cs="Times New Roman"/>
          <w:bCs/>
          <w:sz w:val="24"/>
          <w:szCs w:val="24"/>
          <w:shd w:val="clear" w:color="auto" w:fill="F9F9F9"/>
        </w:rPr>
        <w:t xml:space="preserve">ë autoriteteve publike, të cilin e gjeni në këtë lidhje </w:t>
      </w:r>
      <w:hyperlink r:id="rId8" w:history="1">
        <w:r w:rsidRPr="007E70AB">
          <w:rPr>
            <w:rStyle w:val="Hyperlink"/>
            <w:rFonts w:ascii="Times New Roman" w:hAnsi="Times New Roman" w:cs="Times New Roman"/>
            <w:bCs/>
            <w:sz w:val="24"/>
            <w:szCs w:val="24"/>
            <w:shd w:val="clear" w:color="auto" w:fill="F9F9F9"/>
          </w:rPr>
          <w:t>https://idp.al/wp-content/uploads/2024/04/Rekomandim_per_zbatimin_e_PT.pdf</w:t>
        </w:r>
      </w:hyperlink>
      <w:r>
        <w:rPr>
          <w:rFonts w:ascii="Times New Roman" w:hAnsi="Times New Roman" w:cs="Times New Roman"/>
          <w:bCs/>
          <w:sz w:val="24"/>
          <w:szCs w:val="24"/>
          <w:shd w:val="clear" w:color="auto" w:fill="F9F9F9"/>
        </w:rPr>
        <w:t xml:space="preserve">. Në këtë </w:t>
      </w:r>
      <w:r w:rsidRPr="00D324EE">
        <w:rPr>
          <w:rFonts w:ascii="Times New Roman" w:hAnsi="Times New Roman" w:cs="Times New Roman"/>
          <w:bCs/>
          <w:sz w:val="24"/>
          <w:szCs w:val="24"/>
          <w:shd w:val="clear" w:color="auto" w:fill="F9F9F9"/>
        </w:rPr>
        <w:t>dokument përcaktohen rregulla</w:t>
      </w:r>
      <w:r>
        <w:rPr>
          <w:rFonts w:ascii="Times New Roman" w:hAnsi="Times New Roman" w:cs="Times New Roman"/>
          <w:bCs/>
          <w:sz w:val="24"/>
          <w:szCs w:val="24"/>
          <w:shd w:val="clear" w:color="auto" w:fill="F9F9F9"/>
        </w:rPr>
        <w:t>t</w:t>
      </w:r>
      <w:r w:rsidRPr="00D324EE">
        <w:rPr>
          <w:rFonts w:ascii="Times New Roman" w:hAnsi="Times New Roman" w:cs="Times New Roman"/>
          <w:bCs/>
          <w:sz w:val="24"/>
          <w:szCs w:val="24"/>
          <w:shd w:val="clear" w:color="auto" w:fill="F9F9F9"/>
        </w:rPr>
        <w:t xml:space="preserve"> </w:t>
      </w:r>
      <w:r>
        <w:rPr>
          <w:rFonts w:ascii="Times New Roman" w:hAnsi="Times New Roman" w:cs="Times New Roman"/>
          <w:bCs/>
          <w:sz w:val="24"/>
          <w:szCs w:val="24"/>
          <w:shd w:val="clear" w:color="auto" w:fill="F9F9F9"/>
        </w:rPr>
        <w:t>e</w:t>
      </w:r>
      <w:r w:rsidRPr="00D324EE">
        <w:rPr>
          <w:rFonts w:ascii="Times New Roman" w:hAnsi="Times New Roman" w:cs="Times New Roman"/>
          <w:bCs/>
          <w:sz w:val="24"/>
          <w:szCs w:val="24"/>
          <w:shd w:val="clear" w:color="auto" w:fill="F9F9F9"/>
        </w:rPr>
        <w:t xml:space="preserve"> detajuara për informacionin </w:t>
      </w:r>
      <w:r>
        <w:rPr>
          <w:rFonts w:ascii="Times New Roman" w:hAnsi="Times New Roman" w:cs="Times New Roman"/>
          <w:bCs/>
          <w:sz w:val="24"/>
          <w:szCs w:val="24"/>
          <w:shd w:val="clear" w:color="auto" w:fill="F9F9F9"/>
        </w:rPr>
        <w:t xml:space="preserve">që duhet të publikohet në faqen </w:t>
      </w:r>
      <w:r w:rsidRPr="00D324EE">
        <w:rPr>
          <w:rFonts w:ascii="Times New Roman" w:hAnsi="Times New Roman" w:cs="Times New Roman"/>
          <w:bCs/>
          <w:sz w:val="24"/>
          <w:szCs w:val="24"/>
          <w:shd w:val="clear" w:color="auto" w:fill="F9F9F9"/>
        </w:rPr>
        <w:t>zyrtare të internetit të AP, në mënyrë sa më të thjeshtë e të plotë të mundshme për qytetarët.</w:t>
      </w:r>
    </w:p>
    <w:p w:rsidR="001A4DE5" w:rsidRDefault="001A4DE5">
      <w:bookmarkStart w:id="0" w:name="_GoBack"/>
      <w:bookmarkEnd w:id="0"/>
    </w:p>
    <w:sectPr w:rsidR="001A4DE5" w:rsidSect="00D33582">
      <w:pgSz w:w="11907" w:h="16839" w:code="9"/>
      <w:pgMar w:top="851" w:right="1701" w:bottom="1282" w:left="1701" w:header="1138" w:footer="77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F5C"/>
    <w:rsid w:val="001A4DE5"/>
    <w:rsid w:val="00266616"/>
    <w:rsid w:val="0029691C"/>
    <w:rsid w:val="002D6928"/>
    <w:rsid w:val="003E49D0"/>
    <w:rsid w:val="00403F73"/>
    <w:rsid w:val="00A0703E"/>
    <w:rsid w:val="00A81C5C"/>
    <w:rsid w:val="00BD76F1"/>
    <w:rsid w:val="00D33582"/>
    <w:rsid w:val="00F5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118D9-F7C7-4D65-A7F1-4DE70A72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F5C"/>
    <w:pPr>
      <w:spacing w:after="200" w:line="276"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p.al/wp-content/uploads/2024/04/Rekomandim_per_zbatimin_e_PT.pdf" TargetMode="External"/><Relationship Id="rId3" Type="http://schemas.openxmlformats.org/officeDocument/2006/relationships/webSettings" Target="webSettings.xml"/><Relationship Id="rId7" Type="http://schemas.openxmlformats.org/officeDocument/2006/relationships/hyperlink" Target="https://idp.al/rekomandi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dp.al/raporte-vjetore/" TargetMode="External"/><Relationship Id="rId5" Type="http://schemas.openxmlformats.org/officeDocument/2006/relationships/hyperlink" Target="https://idp.al/raporte-monitorimi/" TargetMode="External"/><Relationship Id="rId10" Type="http://schemas.openxmlformats.org/officeDocument/2006/relationships/theme" Target="theme/theme1.xml"/><Relationship Id="rId4" Type="http://schemas.openxmlformats.org/officeDocument/2006/relationships/hyperlink" Target="https://idp.al/wp-content/uploads/2024/03/Raporti_2023.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2024-06-24T08:52:00Z</dcterms:created>
  <dcterms:modified xsi:type="dcterms:W3CDTF">2024-06-24T08:53:00Z</dcterms:modified>
</cp:coreProperties>
</file>