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9"/>
        <w:gridCol w:w="7579"/>
        <w:gridCol w:w="1185"/>
      </w:tblGrid>
      <w:tr w:rsidR="00CA1804" w:rsidTr="00CA1804">
        <w:trPr>
          <w:trHeight w:val="576"/>
        </w:trPr>
        <w:tc>
          <w:tcPr>
            <w:tcW w:w="1068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CA1804" w:rsidTr="00CA1804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804" w:rsidRDefault="00CA1804" w:rsidP="00CA1804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të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CA1804" w:rsidRDefault="00CA1804" w:rsidP="00CA1804">
            <w:pPr>
              <w:spacing w:after="0" w:line="240" w:lineRule="auto"/>
            </w:pPr>
          </w:p>
        </w:tc>
      </w:tr>
      <w:tr w:rsidR="00CA1804" w:rsidTr="00CA1804">
        <w:trPr>
          <w:gridAfter w:val="1"/>
          <w:wAfter w:w="1185" w:type="dxa"/>
          <w:trHeight w:val="99"/>
        </w:trPr>
        <w:tc>
          <w:tcPr>
            <w:tcW w:w="1919" w:type="dxa"/>
          </w:tcPr>
          <w:p w:rsidR="00CA1804" w:rsidRDefault="00CA1804" w:rsidP="00CA1804"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</w:tcPr>
          <w:p w:rsidR="00CA1804" w:rsidRDefault="00CA1804" w:rsidP="00CA1804">
            <w:pPr>
              <w:pStyle w:val="EmptyCellLayoutStyle"/>
              <w:spacing w:after="0" w:line="240" w:lineRule="auto"/>
            </w:pPr>
          </w:p>
        </w:tc>
      </w:tr>
      <w:tr w:rsidR="00CA1804" w:rsidTr="00CA1804">
        <w:trPr>
          <w:gridAfter w:val="1"/>
          <w:wAfter w:w="1185" w:type="dxa"/>
          <w:trHeight w:val="360"/>
        </w:trPr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CA1804" w:rsidTr="00CA1804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804" w:rsidRDefault="00CA1804" w:rsidP="00CA18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Për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: 2019</w:t>
                  </w:r>
                </w:p>
              </w:tc>
            </w:tr>
          </w:tbl>
          <w:p w:rsidR="00CA1804" w:rsidRDefault="00CA1804" w:rsidP="00CA1804">
            <w:pPr>
              <w:spacing w:after="0" w:line="240" w:lineRule="auto"/>
            </w:pPr>
          </w:p>
        </w:tc>
        <w:tc>
          <w:tcPr>
            <w:tcW w:w="7579" w:type="dxa"/>
          </w:tcPr>
          <w:p w:rsidR="00CA1804" w:rsidRDefault="00CA1804" w:rsidP="00CA1804">
            <w:pPr>
              <w:pStyle w:val="EmptyCellLayoutStyle"/>
              <w:spacing w:after="0" w:line="240" w:lineRule="auto"/>
            </w:pPr>
          </w:p>
        </w:tc>
      </w:tr>
      <w:tr w:rsidR="00CA1804" w:rsidTr="00CA1804">
        <w:trPr>
          <w:gridAfter w:val="1"/>
          <w:wAfter w:w="1185" w:type="dxa"/>
          <w:trHeight w:val="42"/>
        </w:trPr>
        <w:tc>
          <w:tcPr>
            <w:tcW w:w="1919" w:type="dxa"/>
          </w:tcPr>
          <w:p w:rsidR="00CA1804" w:rsidRDefault="00CA1804" w:rsidP="00CA1804"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</w:tcPr>
          <w:p w:rsidR="00CA1804" w:rsidRDefault="00CA1804" w:rsidP="00CA1804">
            <w:pPr>
              <w:pStyle w:val="EmptyCellLayoutStyle"/>
              <w:spacing w:after="0" w:line="240" w:lineRule="auto"/>
            </w:pPr>
          </w:p>
        </w:tc>
      </w:tr>
      <w:tr w:rsidR="00CA1804" w:rsidTr="00CA1804">
        <w:trPr>
          <w:gridAfter w:val="1"/>
          <w:wAfter w:w="1185" w:type="dxa"/>
          <w:trHeight w:val="360"/>
        </w:trPr>
        <w:tc>
          <w:tcPr>
            <w:tcW w:w="949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CA1804" w:rsidTr="00CA1804">
              <w:trPr>
                <w:trHeight w:val="282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804" w:rsidRDefault="00CA1804" w:rsidP="00CA18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Kontraktor: Komisioneri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Informimit dhe Mbrojtjen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CA1804" w:rsidRDefault="00CA1804" w:rsidP="00CA1804">
            <w:pPr>
              <w:spacing w:after="0" w:line="240" w:lineRule="auto"/>
            </w:pPr>
          </w:p>
        </w:tc>
      </w:tr>
    </w:tbl>
    <w:p w:rsidR="009B7A7A" w:rsidRDefault="009B7A7A"/>
    <w:tbl>
      <w:tblPr>
        <w:tblW w:w="2210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3119"/>
        <w:gridCol w:w="1276"/>
        <w:gridCol w:w="1275"/>
        <w:gridCol w:w="1276"/>
        <w:gridCol w:w="2977"/>
        <w:gridCol w:w="1417"/>
        <w:gridCol w:w="2129"/>
        <w:gridCol w:w="1273"/>
        <w:gridCol w:w="1706"/>
        <w:gridCol w:w="1560"/>
        <w:gridCol w:w="1124"/>
      </w:tblGrid>
      <w:tr w:rsidR="00F1365E" w:rsidTr="00F1365E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>Nr.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Objekti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Kodet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CVP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>Tipi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Tipi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kontratës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regjistrit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Fondi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përllogaritur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Burimi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Financimit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Vlera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4" w:space="0" w:color="auto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procedurës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së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</w:tcPr>
          <w:p w:rsidR="00F1365E" w:rsidRDefault="00F1365E" w:rsidP="00F1365E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Koha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planifikuar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zhvillimin</w:t>
            </w:r>
            <w:bookmarkStart w:id="0" w:name="_GoBack"/>
            <w:bookmarkEnd w:id="0"/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procedurës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</w:tcPr>
          <w:p w:rsidR="00F1365E" w:rsidRDefault="00F1365E" w:rsidP="00F1365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modifikuar</w:t>
            </w:r>
            <w:proofErr w:type="spellEnd"/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Mbikqyrje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objekti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rikonstruksion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godine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Mbikëqyrja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punës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ndërtimit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194000.00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194000.00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tonera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Toner per printer </w:t>
            </w:r>
            <w:proofErr w:type="spellStart"/>
            <w:r>
              <w:rPr>
                <w:rFonts w:ascii="Arial" w:eastAsia="Arial" w:hAnsi="Arial"/>
                <w:color w:val="000000"/>
              </w:rPr>
              <w:t>lazer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/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fax , Toner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4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siguracion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tpl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siguracion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detyrueshem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automjetet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5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depo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uji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dezinfektim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dezinfektimi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asgjësimi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6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kanceleri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Dosje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Stilolapsa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Mbajtëse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stilolapsi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Letër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7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literature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zyren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Libra </w:t>
            </w:r>
            <w:proofErr w:type="spellStart"/>
            <w:r>
              <w:rPr>
                <w:rFonts w:ascii="Arial" w:eastAsia="Arial" w:hAnsi="Arial"/>
                <w:color w:val="000000"/>
              </w:rPr>
              <w:t>biblioteke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8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Botime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9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Request for Proposals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10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gjelberimi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arkitekture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lulishtesh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11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pergjithshme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zyrës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12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central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brendshem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telefonik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linjave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telefonike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telegrafike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13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14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hartim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projekti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rikonstruksion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Projekte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15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percjellje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pritjeje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16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akses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kontrolli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ne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sistemit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17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zjarrefikese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zjarrfikëse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18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administrative </w:t>
            </w:r>
            <w:proofErr w:type="spellStart"/>
            <w:r>
              <w:rPr>
                <w:rFonts w:ascii="Arial" w:eastAsia="Arial" w:hAnsi="Arial"/>
                <w:color w:val="000000"/>
              </w:rPr>
              <w:t>sociale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19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Kolaudim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punimesh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administrative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objektet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menaxherialë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16800.00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16800.00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20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me </w:t>
            </w:r>
            <w:proofErr w:type="spellStart"/>
            <w:r>
              <w:rPr>
                <w:rFonts w:ascii="Arial" w:eastAsia="Arial" w:hAnsi="Arial"/>
                <w:color w:val="000000"/>
              </w:rPr>
              <w:t>roje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fizike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roje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me </w:t>
            </w:r>
            <w:proofErr w:type="spellStart"/>
            <w:r>
              <w:rPr>
                <w:rFonts w:ascii="Arial" w:eastAsia="Arial" w:hAnsi="Arial"/>
                <w:color w:val="000000"/>
              </w:rPr>
              <w:t>roje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319600.00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319600.00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Negotiated without Notice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21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riaprim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teknologjisë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informacionit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makinerisë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500000.00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500000.00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22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kamera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sigurisë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23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24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rregjistrimi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audio-</w:t>
            </w:r>
            <w:proofErr w:type="spellStart"/>
            <w:r>
              <w:rPr>
                <w:rFonts w:ascii="Arial" w:eastAsia="Arial" w:hAnsi="Arial"/>
                <w:color w:val="000000"/>
              </w:rPr>
              <w:t>vizuale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optike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25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shpenzime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ajrore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transporti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Dinamik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Purchase Tickets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26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kondicionimi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ngrohjes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qendrore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27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Higjenizues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duart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Detergjentë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Detergjentë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enë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28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Dekorime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lastRenderedPageBreak/>
              <w:t>29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speciale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zyren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30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shtypi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31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Rikonstruksion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katit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perdhe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-hotel </w:t>
            </w:r>
            <w:proofErr w:type="spellStart"/>
            <w:r>
              <w:rPr>
                <w:rFonts w:ascii="Arial" w:eastAsia="Arial" w:hAnsi="Arial"/>
                <w:color w:val="000000"/>
              </w:rPr>
              <w:t>Drini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multifunksionale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Punë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8506100.00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8506100.00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Request for Proposals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32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konsulence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konference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konsulencës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menaxhim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përgjithshëm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33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softialpha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web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asistencës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software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34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ngjashme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35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automjetesh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specifike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frena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frenash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kuti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marshesh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36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fasade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jashtëme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ndërtesave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37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,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gjeneratori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gjeneratorëve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9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  <w:tr w:rsidR="00F1365E" w:rsidTr="00F1365E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2129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273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365E" w:rsidRDefault="00F1365E" w:rsidP="00F1365E">
            <w:pPr>
              <w:spacing w:after="0" w:line="240" w:lineRule="auto"/>
            </w:pPr>
          </w:p>
        </w:tc>
      </w:tr>
    </w:tbl>
    <w:p w:rsidR="00CA1804" w:rsidRDefault="00CA1804"/>
    <w:sectPr w:rsidR="00CA1804" w:rsidSect="00CA1804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4"/>
    <w:rsid w:val="009B7A7A"/>
    <w:rsid w:val="00CA1804"/>
    <w:rsid w:val="00F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CD99D-25E4-4B45-A97E-5F2EB38E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0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CA1804"/>
    <w:rPr>
      <w:rFonts w:ascii="Times New Roman" w:eastAsia="Times New Roman" w:hAnsi="Times New Roman" w:cs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2019-07-01T07:19:00Z</dcterms:created>
  <dcterms:modified xsi:type="dcterms:W3CDTF">2019-07-01T08:26:00Z</dcterms:modified>
</cp:coreProperties>
</file>