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E7" w:rsidRPr="00C37BB4" w:rsidRDefault="00C31BB1" w:rsidP="007E124B">
      <w:pPr>
        <w:tabs>
          <w:tab w:val="left" w:pos="9000"/>
        </w:tabs>
        <w:autoSpaceDE w:val="0"/>
        <w:autoSpaceDN w:val="0"/>
        <w:adjustRightInd w:val="0"/>
        <w:spacing w:line="276" w:lineRule="auto"/>
        <w:rPr>
          <w:b/>
        </w:rPr>
      </w:pPr>
      <w:r>
        <w:rPr>
          <w:noProof/>
          <w:lang w:val="en-US" w:eastAsia="en-US"/>
        </w:rPr>
        <mc:AlternateContent>
          <mc:Choice Requires="wps">
            <w:drawing>
              <wp:anchor distT="4294967294" distB="4294967294"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0EDCDB"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4" distB="4294967294"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5EF10" id="AutoShape 4" o:spid="_x0000_s1026" type="#_x0000_t32" style="position:absolute;margin-left:229.9pt;margin-top:36.9pt;width:192.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D24FE7">
        <w:t xml:space="preserve">                                                                 </w:t>
      </w:r>
      <w:r w:rsidR="00D24FE7" w:rsidRPr="00C37BB4">
        <w:object w:dxaOrig="2175" w:dyaOrig="3150">
          <v:shape id="_x0000_i1025" type="#_x0000_t75" style="width:34.65pt;height:42.8pt" o:ole="" o:preferrelative="f" fillcolor="window">
            <v:imagedata r:id="rId8" o:title=""/>
            <o:lock v:ext="edit" aspectratio="f"/>
          </v:shape>
          <o:OLEObject Type="Embed" ProgID="Unknown" ShapeID="_x0000_i1025" DrawAspect="Content" ObjectID="_1620730160" r:id="rId9"/>
        </w:object>
      </w:r>
    </w:p>
    <w:p w:rsidR="00D24FE7" w:rsidRPr="00C37BB4" w:rsidRDefault="00D24FE7" w:rsidP="007E124B">
      <w:pPr>
        <w:pStyle w:val="Heading2"/>
        <w:spacing w:after="240" w:line="276" w:lineRule="auto"/>
        <w:jc w:val="center"/>
        <w:rPr>
          <w:sz w:val="18"/>
          <w:szCs w:val="18"/>
        </w:rPr>
      </w:pPr>
      <w:r w:rsidRPr="00C37BB4">
        <w:rPr>
          <w:sz w:val="18"/>
          <w:szCs w:val="18"/>
        </w:rPr>
        <w:t>R E P U B L I K A   E   S H Q I P Ë R I S Ë</w:t>
      </w:r>
    </w:p>
    <w:p w:rsidR="00D24FE7" w:rsidRPr="00C37BB4" w:rsidRDefault="00D24FE7" w:rsidP="007E124B">
      <w:pPr>
        <w:spacing w:line="276" w:lineRule="auto"/>
        <w:jc w:val="center"/>
        <w:rPr>
          <w:b/>
        </w:rPr>
      </w:pPr>
      <w:r w:rsidRPr="00C37BB4">
        <w:rPr>
          <w:b/>
        </w:rPr>
        <w:t>KOMISIONERI PËR TË DREJTËN E INFORMIMIT DHE MBROJTJEN E TË DHËNAVE PERSONALE</w:t>
      </w:r>
    </w:p>
    <w:p w:rsidR="00B4607D" w:rsidRPr="00C82E1F" w:rsidRDefault="00B4607D" w:rsidP="007E124B">
      <w:pPr>
        <w:spacing w:line="276" w:lineRule="auto"/>
        <w:jc w:val="center"/>
      </w:pPr>
      <w:r>
        <w:t xml:space="preserve">GRUPI I MENAXHIMIT STRATEGJIK </w:t>
      </w:r>
    </w:p>
    <w:p w:rsidR="00D24FE7" w:rsidRPr="00B24E43" w:rsidRDefault="00D24FE7" w:rsidP="007E124B">
      <w:pPr>
        <w:spacing w:line="276" w:lineRule="auto"/>
      </w:pPr>
    </w:p>
    <w:p w:rsidR="00D24FE7" w:rsidRDefault="00D24FE7" w:rsidP="007E124B">
      <w:pPr>
        <w:spacing w:line="276" w:lineRule="auto"/>
      </w:pPr>
      <w:proofErr w:type="spellStart"/>
      <w:r w:rsidRPr="00B6534C">
        <w:t>Nr</w:t>
      </w:r>
      <w:proofErr w:type="spellEnd"/>
      <w:r w:rsidRPr="00B6534C">
        <w:t>._______</w:t>
      </w:r>
      <w:proofErr w:type="spellStart"/>
      <w:r w:rsidRPr="00B6534C">
        <w:t>prot</w:t>
      </w:r>
      <w:proofErr w:type="spellEnd"/>
      <w:r w:rsidRPr="00B6534C">
        <w:t>.</w:t>
      </w:r>
      <w:r w:rsidRPr="00B6534C">
        <w:tab/>
      </w:r>
      <w:r w:rsidRPr="00B6534C">
        <w:tab/>
      </w:r>
      <w:r w:rsidRPr="00B6534C">
        <w:tab/>
      </w:r>
      <w:r w:rsidRPr="00B6534C">
        <w:tab/>
      </w:r>
      <w:r>
        <w:t xml:space="preserve">                                 Tiranë më __.__.2019</w:t>
      </w:r>
    </w:p>
    <w:p w:rsidR="00B4607D" w:rsidRDefault="00B4607D" w:rsidP="007E124B">
      <w:pPr>
        <w:spacing w:line="276" w:lineRule="auto"/>
      </w:pPr>
    </w:p>
    <w:p w:rsidR="007E124B" w:rsidRDefault="007E124B" w:rsidP="007E124B">
      <w:pPr>
        <w:spacing w:line="276" w:lineRule="auto"/>
      </w:pPr>
    </w:p>
    <w:p w:rsidR="003A33F8" w:rsidRPr="00490279" w:rsidRDefault="003A33F8" w:rsidP="007E124B">
      <w:pPr>
        <w:spacing w:line="276" w:lineRule="auto"/>
        <w:ind w:left="900" w:right="434" w:hanging="900"/>
        <w:jc w:val="both"/>
      </w:pPr>
      <w:r w:rsidRPr="00490279">
        <w:t>Lënda:  Raport i monitorimit</w:t>
      </w:r>
      <w:r w:rsidR="00E96AA7">
        <w:t xml:space="preserve"> mbi performancën e produkteve</w:t>
      </w:r>
      <w:r w:rsidR="005D6E93">
        <w:t xml:space="preserve">/shpenzimeve </w:t>
      </w:r>
      <w:r w:rsidRPr="00490279">
        <w:t xml:space="preserve">për </w:t>
      </w:r>
      <w:r w:rsidR="00E96AA7">
        <w:t>periudhë</w:t>
      </w:r>
      <w:r w:rsidR="005D6E93">
        <w:t>n j</w:t>
      </w:r>
      <w:r w:rsidR="00DA6935">
        <w:t>an</w:t>
      </w:r>
      <w:r w:rsidR="00182566">
        <w:t xml:space="preserve">ar - </w:t>
      </w:r>
      <w:r w:rsidR="005D6E93">
        <w:t>p</w:t>
      </w:r>
      <w:r w:rsidR="00DA6935">
        <w:t>rill 201</w:t>
      </w:r>
      <w:r w:rsidR="00D24FE7">
        <w:t>9</w:t>
      </w:r>
      <w:r w:rsidR="00DA6935">
        <w:t xml:space="preserve"> </w:t>
      </w:r>
      <w:r w:rsidR="005D6E93">
        <w:t>.</w:t>
      </w:r>
    </w:p>
    <w:p w:rsidR="003A33F8" w:rsidRPr="00E43105" w:rsidRDefault="003A33F8" w:rsidP="007E124B">
      <w:pPr>
        <w:spacing w:line="276" w:lineRule="auto"/>
        <w:ind w:left="900" w:right="434" w:hanging="900"/>
        <w:jc w:val="both"/>
      </w:pPr>
    </w:p>
    <w:p w:rsidR="00B9634F" w:rsidRDefault="00B9634F" w:rsidP="007E124B">
      <w:pPr>
        <w:spacing w:line="276" w:lineRule="auto"/>
        <w:jc w:val="both"/>
      </w:pPr>
      <w:r w:rsidRPr="00FD14E7">
        <w:t>Misioni i punës së Zyrës së</w:t>
      </w:r>
      <w:r w:rsidR="00342679">
        <w:t xml:space="preserve"> Komisionerit</w:t>
      </w:r>
      <w:r w:rsidR="006E28BF">
        <w:t>,</w:t>
      </w:r>
      <w:r w:rsidR="00342679">
        <w:t xml:space="preserve"> bazuar në ligjin </w:t>
      </w:r>
      <w:r w:rsidRPr="00FD14E7">
        <w:t xml:space="preserve">“Për të drejtën e Informimit”, ligjin “Për Mbrojtjen </w:t>
      </w:r>
      <w:r w:rsidR="005D6E93">
        <w:t xml:space="preserve">e të Dhënave Personale”, </w:t>
      </w:r>
      <w:r w:rsidR="00E96AA7">
        <w:t>si dhe ligjin “</w:t>
      </w:r>
      <w:r w:rsidRPr="00FD14E7">
        <w:t>Për njoftimin dhe konsultimin publik”, është garantimi i aksesit në informacion të qytetarëve ndaj autoriteteve publike, njohjes së publikut me informacionin publik, si dhe përpunimi i l</w:t>
      </w:r>
      <w:r w:rsidR="005D6E93">
        <w:t xml:space="preserve">igjshëm i të dhënave personale, </w:t>
      </w:r>
      <w:r w:rsidRPr="00FD14E7">
        <w:t xml:space="preserve">duke respektuar dhe garantuar të drejtat dhe liritë themelore të njeriut, në veçanti, të drejtën për informim dhe të drejtën e ruajtjes së jetës private. </w:t>
      </w:r>
    </w:p>
    <w:p w:rsidR="00EE6090" w:rsidRPr="00EE6090" w:rsidRDefault="00EE6090" w:rsidP="007E124B">
      <w:pPr>
        <w:spacing w:line="276" w:lineRule="auto"/>
        <w:jc w:val="both"/>
      </w:pPr>
    </w:p>
    <w:p w:rsidR="00B9634F" w:rsidRDefault="00B9634F" w:rsidP="007E124B">
      <w:pPr>
        <w:pStyle w:val="Caption"/>
        <w:spacing w:before="0" w:after="0"/>
        <w:jc w:val="both"/>
        <w:rPr>
          <w:rFonts w:ascii="Times New Roman" w:hAnsi="Times New Roman" w:cs="Times New Roman"/>
          <w:i w:val="0"/>
        </w:rPr>
      </w:pPr>
      <w:r w:rsidRPr="00FD14E7">
        <w:rPr>
          <w:rFonts w:ascii="Times New Roman" w:hAnsi="Times New Roman" w:cs="Times New Roman"/>
          <w:i w:val="0"/>
        </w:rPr>
        <w:t xml:space="preserve">Arritja e misionit dhe realizimi i sfidave, në drejtim të monitorimit të zbatimit të ligjeve mbi të cilat ushtrohet veprimtaria e KDIMDP-së, nuk mund të realizohet </w:t>
      </w:r>
      <w:r w:rsidR="00342679">
        <w:rPr>
          <w:rFonts w:ascii="Times New Roman" w:hAnsi="Times New Roman" w:cs="Times New Roman"/>
          <w:i w:val="0"/>
        </w:rPr>
        <w:t>pa</w:t>
      </w:r>
      <w:r w:rsidRPr="00FD14E7">
        <w:rPr>
          <w:rFonts w:ascii="Times New Roman" w:hAnsi="Times New Roman" w:cs="Times New Roman"/>
          <w:i w:val="0"/>
        </w:rPr>
        <w:t xml:space="preserve"> mbështet</w:t>
      </w:r>
      <w:r w:rsidR="00342679">
        <w:rPr>
          <w:rFonts w:ascii="Times New Roman" w:hAnsi="Times New Roman" w:cs="Times New Roman"/>
          <w:i w:val="0"/>
        </w:rPr>
        <w:t>jen</w:t>
      </w:r>
      <w:r w:rsidRPr="00FD14E7">
        <w:rPr>
          <w:rFonts w:ascii="Times New Roman" w:hAnsi="Times New Roman" w:cs="Times New Roman"/>
          <w:i w:val="0"/>
        </w:rPr>
        <w:t xml:space="preserve">, me burime të mjaftueshme njerëzore dhe financiare. </w:t>
      </w:r>
    </w:p>
    <w:p w:rsidR="006E28BF" w:rsidRPr="00FD14E7" w:rsidRDefault="006E28BF" w:rsidP="007E124B">
      <w:pPr>
        <w:pStyle w:val="Caption"/>
        <w:spacing w:before="0" w:after="0"/>
        <w:jc w:val="both"/>
        <w:rPr>
          <w:rFonts w:ascii="Times New Roman" w:hAnsi="Times New Roman" w:cs="Times New Roman"/>
          <w:i w:val="0"/>
        </w:rPr>
      </w:pPr>
    </w:p>
    <w:p w:rsidR="00B9634F" w:rsidRPr="00FD14E7" w:rsidRDefault="00B9634F" w:rsidP="007E124B">
      <w:pPr>
        <w:pStyle w:val="CommentText"/>
        <w:spacing w:line="276" w:lineRule="auto"/>
        <w:jc w:val="both"/>
        <w:rPr>
          <w:rFonts w:ascii="Times New Roman" w:hAnsi="Times New Roman"/>
          <w:sz w:val="24"/>
          <w:szCs w:val="24"/>
        </w:rPr>
      </w:pPr>
      <w:r w:rsidRPr="00FD14E7">
        <w:rPr>
          <w:rFonts w:ascii="Times New Roman" w:hAnsi="Times New Roman"/>
          <w:sz w:val="24"/>
          <w:szCs w:val="24"/>
        </w:rPr>
        <w:t>Marrëdhënia ndërkombëtare ka qenë në fokusin e punës së Zyrës së Komisionerit duke i dhënë rëndësi takimeve, anëtarësimeve, raportimeve, por edhe paraqitjes së kërkesave për zhvillime të projekteve të përbashkëta, për të rritur nivelin profesional të punonjësve dhe jo vetëm. Jemi përfaqësuar në aktivitete bre</w:t>
      </w:r>
      <w:r w:rsidR="005D6E93">
        <w:rPr>
          <w:rFonts w:ascii="Times New Roman" w:hAnsi="Times New Roman"/>
          <w:sz w:val="24"/>
          <w:szCs w:val="24"/>
        </w:rPr>
        <w:t xml:space="preserve">nda e jashtë vendit, me një rol </w:t>
      </w:r>
      <w:r w:rsidRPr="00FD14E7">
        <w:rPr>
          <w:rFonts w:ascii="Times New Roman" w:hAnsi="Times New Roman"/>
          <w:sz w:val="24"/>
          <w:szCs w:val="24"/>
        </w:rPr>
        <w:t>aktiv në prezantime, diskutime dhe opinione. Gjatë vitit 2018, sikundër bërë prezente edhe gjatë paraqitjes së kërkesave buxhetore</w:t>
      </w:r>
      <w:r w:rsidR="005D6E93">
        <w:rPr>
          <w:rFonts w:ascii="Times New Roman" w:hAnsi="Times New Roman"/>
          <w:sz w:val="24"/>
          <w:szCs w:val="24"/>
        </w:rPr>
        <w:t>,</w:t>
      </w:r>
      <w:r w:rsidRPr="00FD14E7">
        <w:rPr>
          <w:rFonts w:ascii="Times New Roman" w:hAnsi="Times New Roman"/>
          <w:sz w:val="24"/>
          <w:szCs w:val="24"/>
        </w:rPr>
        <w:t xml:space="preserve"> PBA 2018-2020, u vlerësuam dhe realizuam me sukses organizimin</w:t>
      </w:r>
      <w:r w:rsidR="005D6E93">
        <w:rPr>
          <w:rFonts w:ascii="Times New Roman" w:hAnsi="Times New Roman"/>
          <w:sz w:val="24"/>
          <w:szCs w:val="24"/>
        </w:rPr>
        <w:t xml:space="preserve"> e Konferencës Evropiane të Autoriteteve të </w:t>
      </w:r>
      <w:r w:rsidRPr="00FD14E7">
        <w:rPr>
          <w:rFonts w:ascii="Times New Roman" w:hAnsi="Times New Roman"/>
          <w:sz w:val="24"/>
          <w:szCs w:val="24"/>
        </w:rPr>
        <w:t xml:space="preserve">Mbrojtjes së të Dhënave Personale, duke kontribuar përkrah vendeve të tjera të rajonit e më gjerë në fushën e përgjegjësisë që mbulojmë. </w:t>
      </w:r>
    </w:p>
    <w:p w:rsidR="006E28BF" w:rsidRPr="00E22F13" w:rsidRDefault="006E28BF" w:rsidP="007E124B">
      <w:pPr>
        <w:spacing w:line="276" w:lineRule="auto"/>
        <w:jc w:val="both"/>
      </w:pPr>
      <w:r w:rsidRPr="00E22F13">
        <w:t xml:space="preserve">Prioritetet për vitin aktual si dhe vizioni për të ardhmen do të vijojnë të jenë: </w:t>
      </w:r>
    </w:p>
    <w:p w:rsidR="006E28BF" w:rsidRPr="00E22F13" w:rsidRDefault="006E28BF" w:rsidP="007E124B">
      <w:pPr>
        <w:pStyle w:val="ListParagraph"/>
        <w:numPr>
          <w:ilvl w:val="0"/>
          <w:numId w:val="19"/>
        </w:numPr>
        <w:spacing w:after="0"/>
        <w:contextualSpacing w:val="0"/>
        <w:rPr>
          <w:rFonts w:ascii="Times New Roman" w:hAnsi="Times New Roman"/>
          <w:sz w:val="24"/>
          <w:szCs w:val="24"/>
        </w:rPr>
      </w:pPr>
      <w:r w:rsidRPr="00E22F13">
        <w:rPr>
          <w:rFonts w:ascii="Times New Roman" w:hAnsi="Times New Roman"/>
          <w:sz w:val="24"/>
          <w:szCs w:val="24"/>
        </w:rPr>
        <w:t>Rritja e ndërgjegjësimit të publikut;</w:t>
      </w:r>
    </w:p>
    <w:p w:rsidR="006E28BF" w:rsidRPr="00E22F13" w:rsidRDefault="006E28BF" w:rsidP="007E124B">
      <w:pPr>
        <w:pStyle w:val="ListParagraph"/>
        <w:numPr>
          <w:ilvl w:val="0"/>
          <w:numId w:val="19"/>
        </w:numPr>
        <w:spacing w:after="0"/>
        <w:contextualSpacing w:val="0"/>
        <w:rPr>
          <w:rFonts w:ascii="Times New Roman" w:hAnsi="Times New Roman"/>
          <w:sz w:val="24"/>
          <w:szCs w:val="24"/>
        </w:rPr>
      </w:pPr>
      <w:r w:rsidRPr="00E22F13">
        <w:rPr>
          <w:rFonts w:ascii="Times New Roman" w:hAnsi="Times New Roman"/>
          <w:sz w:val="24"/>
          <w:szCs w:val="24"/>
        </w:rPr>
        <w:t>Bashkëpunim me shoqërinë civile si partner në garantimin e të drejtës për informim;</w:t>
      </w:r>
    </w:p>
    <w:p w:rsidR="006E28BF" w:rsidRPr="00E22F13" w:rsidRDefault="006E28BF" w:rsidP="007E124B">
      <w:pPr>
        <w:pStyle w:val="ListParagraph"/>
        <w:numPr>
          <w:ilvl w:val="0"/>
          <w:numId w:val="19"/>
        </w:numPr>
        <w:spacing w:after="0"/>
        <w:contextualSpacing w:val="0"/>
        <w:jc w:val="both"/>
        <w:rPr>
          <w:rFonts w:ascii="Times New Roman" w:hAnsi="Times New Roman"/>
          <w:sz w:val="24"/>
          <w:szCs w:val="24"/>
        </w:rPr>
      </w:pPr>
      <w:r w:rsidRPr="00E22F13">
        <w:rPr>
          <w:rFonts w:ascii="Times New Roman" w:hAnsi="Times New Roman"/>
          <w:sz w:val="24"/>
          <w:szCs w:val="24"/>
        </w:rPr>
        <w:t>Konsolidimi i kuadrit ligjor;</w:t>
      </w:r>
    </w:p>
    <w:p w:rsidR="006E28BF" w:rsidRPr="00E22F13" w:rsidRDefault="006E28BF" w:rsidP="007E124B">
      <w:pPr>
        <w:pStyle w:val="ListParagraph"/>
        <w:numPr>
          <w:ilvl w:val="0"/>
          <w:numId w:val="19"/>
        </w:numPr>
        <w:spacing w:after="0"/>
        <w:contextualSpacing w:val="0"/>
        <w:jc w:val="both"/>
        <w:rPr>
          <w:rFonts w:ascii="Times New Roman" w:hAnsi="Times New Roman"/>
          <w:sz w:val="24"/>
          <w:szCs w:val="24"/>
        </w:rPr>
      </w:pPr>
      <w:r w:rsidRPr="00E22F13">
        <w:rPr>
          <w:rFonts w:ascii="Times New Roman" w:hAnsi="Times New Roman"/>
          <w:sz w:val="24"/>
          <w:szCs w:val="24"/>
        </w:rPr>
        <w:t>Përmirësimi, trajnimi dhe monitorimi i vazhdueshëm i autoriteteve publike;</w:t>
      </w:r>
    </w:p>
    <w:p w:rsidR="006E28BF" w:rsidRPr="00E22F13" w:rsidRDefault="006E28BF" w:rsidP="007E124B">
      <w:pPr>
        <w:pStyle w:val="ListParagraph"/>
        <w:numPr>
          <w:ilvl w:val="0"/>
          <w:numId w:val="19"/>
        </w:numPr>
        <w:spacing w:after="0"/>
        <w:contextualSpacing w:val="0"/>
        <w:jc w:val="both"/>
        <w:rPr>
          <w:rFonts w:ascii="Times New Roman" w:hAnsi="Times New Roman"/>
          <w:sz w:val="24"/>
          <w:szCs w:val="24"/>
        </w:rPr>
      </w:pPr>
      <w:r w:rsidRPr="00E22F13">
        <w:rPr>
          <w:rFonts w:ascii="Times New Roman" w:hAnsi="Times New Roman"/>
          <w:sz w:val="24"/>
          <w:szCs w:val="24"/>
        </w:rPr>
        <w:t>Monitorim lidhur me emërimin/ndryshimin e koordinatorëve për të drejtën e informimit dhe trajnimi i vazhdueshëm i tyre;</w:t>
      </w:r>
    </w:p>
    <w:p w:rsidR="006E28BF" w:rsidRPr="00E22F13" w:rsidRDefault="006E28BF" w:rsidP="007E124B">
      <w:pPr>
        <w:pStyle w:val="ListParagraph"/>
        <w:numPr>
          <w:ilvl w:val="0"/>
          <w:numId w:val="19"/>
        </w:numPr>
        <w:spacing w:after="0"/>
        <w:contextualSpacing w:val="0"/>
        <w:jc w:val="both"/>
        <w:rPr>
          <w:rFonts w:ascii="Times New Roman" w:hAnsi="Times New Roman"/>
          <w:sz w:val="24"/>
          <w:szCs w:val="24"/>
        </w:rPr>
      </w:pPr>
      <w:r w:rsidRPr="00E22F13">
        <w:rPr>
          <w:rFonts w:ascii="Times New Roman" w:hAnsi="Times New Roman"/>
          <w:sz w:val="24"/>
          <w:szCs w:val="24"/>
        </w:rPr>
        <w:lastRenderedPageBreak/>
        <w:t>Monitorim i përditësimit të programeve të transparencës dhe regjistrit të kërkesave dhe përgjigjeve;</w:t>
      </w:r>
    </w:p>
    <w:p w:rsidR="006E28BF" w:rsidRPr="00E22F13" w:rsidRDefault="006E28BF" w:rsidP="007E124B">
      <w:pPr>
        <w:pStyle w:val="ListParagraph"/>
        <w:numPr>
          <w:ilvl w:val="0"/>
          <w:numId w:val="19"/>
        </w:numPr>
        <w:spacing w:after="0"/>
        <w:contextualSpacing w:val="0"/>
        <w:jc w:val="both"/>
        <w:rPr>
          <w:rFonts w:ascii="Times New Roman" w:hAnsi="Times New Roman"/>
          <w:sz w:val="24"/>
          <w:szCs w:val="24"/>
        </w:rPr>
      </w:pPr>
      <w:r w:rsidRPr="00E22F13">
        <w:rPr>
          <w:rFonts w:ascii="Times New Roman" w:hAnsi="Times New Roman"/>
          <w:sz w:val="24"/>
          <w:szCs w:val="24"/>
        </w:rPr>
        <w:t>Rritja e numrit të hetimeve administrative;</w:t>
      </w:r>
    </w:p>
    <w:p w:rsidR="006E28BF" w:rsidRPr="00E22F13" w:rsidRDefault="006E28BF" w:rsidP="007E124B">
      <w:pPr>
        <w:pStyle w:val="ListParagraph"/>
        <w:numPr>
          <w:ilvl w:val="0"/>
          <w:numId w:val="19"/>
        </w:numPr>
        <w:spacing w:after="0"/>
        <w:contextualSpacing w:val="0"/>
        <w:jc w:val="both"/>
        <w:rPr>
          <w:rFonts w:ascii="Times New Roman" w:hAnsi="Times New Roman"/>
          <w:sz w:val="24"/>
          <w:szCs w:val="24"/>
        </w:rPr>
      </w:pPr>
      <w:r w:rsidRPr="00E22F13">
        <w:rPr>
          <w:rFonts w:ascii="Times New Roman" w:hAnsi="Times New Roman"/>
          <w:sz w:val="24"/>
          <w:szCs w:val="24"/>
        </w:rPr>
        <w:t>Krijimi i një jurisprudence cilësore.</w:t>
      </w:r>
    </w:p>
    <w:p w:rsidR="006E28BF" w:rsidRPr="00E22F13" w:rsidRDefault="006E28BF" w:rsidP="007E124B">
      <w:pPr>
        <w:spacing w:line="276" w:lineRule="auto"/>
        <w:jc w:val="both"/>
      </w:pPr>
      <w:r w:rsidRPr="00E22F13">
        <w:tab/>
      </w:r>
    </w:p>
    <w:p w:rsidR="006E28BF" w:rsidRPr="00E22F13" w:rsidRDefault="006E28BF" w:rsidP="007E124B">
      <w:pPr>
        <w:spacing w:line="276" w:lineRule="auto"/>
        <w:jc w:val="both"/>
      </w:pPr>
      <w:r w:rsidRPr="00E22F13">
        <w:t>Hyrja në fuqi e GDPR-së, në maj të vitit 2018, ka sjellë angazhimin maksimal të Zyrës së Komisionerit lidhur me harmonizimin me legjislacionin e brendshëm.</w:t>
      </w:r>
      <w:r w:rsidRPr="00E22F13">
        <w:tab/>
      </w:r>
    </w:p>
    <w:p w:rsidR="006E28BF" w:rsidRPr="00E22F13" w:rsidRDefault="006E28BF" w:rsidP="007E124B">
      <w:pPr>
        <w:spacing w:line="276" w:lineRule="auto"/>
        <w:jc w:val="both"/>
      </w:pPr>
    </w:p>
    <w:p w:rsidR="006E28BF" w:rsidRPr="00E22F13" w:rsidRDefault="006E28BF" w:rsidP="007E124B">
      <w:pPr>
        <w:spacing w:after="120" w:line="276" w:lineRule="auto"/>
        <w:jc w:val="both"/>
      </w:pPr>
      <w:r w:rsidRPr="00E22F13">
        <w:t>Vizioni i Zyr</w:t>
      </w:r>
      <w:r w:rsidR="005D6E93">
        <w:t xml:space="preserve">ës së Komisionerit dhe disa nga </w:t>
      </w:r>
      <w:r w:rsidRPr="00E22F13">
        <w:t>objektivat për periudhën</w:t>
      </w:r>
      <w:r w:rsidR="005D6E93">
        <w:t xml:space="preserve"> 3 </w:t>
      </w:r>
      <w:r w:rsidRPr="00E22F13">
        <w:t xml:space="preserve">vjeçare të zbatimit të strategjisë në kuadër të hyrjes në fuqi të “Rregullores të Përgjithshme të Mbrojtjes së të Dhënave”(GDPR) </w:t>
      </w:r>
      <w:r>
        <w:t>do të jenë</w:t>
      </w:r>
      <w:r w:rsidRPr="00E22F13">
        <w:t>:</w:t>
      </w:r>
    </w:p>
    <w:p w:rsidR="006E28BF" w:rsidRPr="00E22F13" w:rsidRDefault="006E28BF" w:rsidP="007E124B">
      <w:pPr>
        <w:pStyle w:val="ListParagraph"/>
        <w:numPr>
          <w:ilvl w:val="0"/>
          <w:numId w:val="42"/>
        </w:numPr>
        <w:spacing w:after="0"/>
        <w:jc w:val="both"/>
        <w:rPr>
          <w:rFonts w:ascii="Times New Roman" w:hAnsi="Times New Roman"/>
          <w:sz w:val="24"/>
          <w:szCs w:val="24"/>
        </w:rPr>
      </w:pPr>
      <w:r w:rsidRPr="00E22F13">
        <w:rPr>
          <w:rFonts w:ascii="Times New Roman" w:hAnsi="Times New Roman"/>
          <w:sz w:val="24"/>
          <w:szCs w:val="24"/>
        </w:rPr>
        <w:t>Përafrim</w:t>
      </w:r>
      <w:r w:rsidR="005D6E93">
        <w:rPr>
          <w:rFonts w:ascii="Times New Roman" w:hAnsi="Times New Roman"/>
          <w:sz w:val="24"/>
          <w:szCs w:val="24"/>
        </w:rPr>
        <w:t xml:space="preserve">i i legjislacionit shqiptar për </w:t>
      </w:r>
      <w:r w:rsidRPr="00E22F13">
        <w:rPr>
          <w:rFonts w:ascii="Times New Roman" w:hAnsi="Times New Roman"/>
          <w:sz w:val="24"/>
          <w:szCs w:val="24"/>
        </w:rPr>
        <w:t>mbrojtjen e të dhënave personale m</w:t>
      </w:r>
      <w:r w:rsidR="005D6E93">
        <w:rPr>
          <w:rFonts w:ascii="Times New Roman" w:hAnsi="Times New Roman"/>
          <w:sz w:val="24"/>
          <w:szCs w:val="24"/>
        </w:rPr>
        <w:t xml:space="preserve">e Rregulloren e BE-së 679/2016 </w:t>
      </w:r>
      <w:r w:rsidRPr="00E22F13">
        <w:rPr>
          <w:rFonts w:ascii="Times New Roman" w:hAnsi="Times New Roman"/>
          <w:sz w:val="24"/>
          <w:szCs w:val="24"/>
        </w:rPr>
        <w:t>dhe Direktiva 680/2016;</w:t>
      </w:r>
    </w:p>
    <w:p w:rsidR="006E28BF" w:rsidRPr="00E22F13" w:rsidRDefault="006E28BF" w:rsidP="007E124B">
      <w:pPr>
        <w:pStyle w:val="ListParagraph"/>
        <w:numPr>
          <w:ilvl w:val="0"/>
          <w:numId w:val="42"/>
        </w:numPr>
        <w:spacing w:after="0"/>
        <w:jc w:val="both"/>
        <w:rPr>
          <w:rFonts w:ascii="Times New Roman" w:hAnsi="Times New Roman"/>
          <w:sz w:val="24"/>
          <w:szCs w:val="24"/>
        </w:rPr>
      </w:pPr>
      <w:r w:rsidRPr="00E22F13">
        <w:rPr>
          <w:rFonts w:ascii="Times New Roman" w:hAnsi="Times New Roman"/>
          <w:sz w:val="24"/>
          <w:szCs w:val="24"/>
        </w:rPr>
        <w:t xml:space="preserve">Ngritja e kapaciteteve të stafit të Zyrës së Komisionerit në kuadër të harmonizimit të ligjit me </w:t>
      </w:r>
      <w:proofErr w:type="spellStart"/>
      <w:r w:rsidR="007E124B">
        <w:rPr>
          <w:rFonts w:ascii="Times New Roman" w:hAnsi="Times New Roman"/>
          <w:i/>
          <w:sz w:val="24"/>
          <w:szCs w:val="24"/>
        </w:rPr>
        <w:t>acquis</w:t>
      </w:r>
      <w:proofErr w:type="spellEnd"/>
      <w:r w:rsidR="007E124B">
        <w:rPr>
          <w:rFonts w:ascii="Times New Roman" w:hAnsi="Times New Roman"/>
          <w:i/>
          <w:sz w:val="24"/>
          <w:szCs w:val="24"/>
        </w:rPr>
        <w:t xml:space="preserve"> </w:t>
      </w:r>
      <w:proofErr w:type="spellStart"/>
      <w:r w:rsidR="007E124B">
        <w:rPr>
          <w:rFonts w:ascii="Times New Roman" w:hAnsi="Times New Roman"/>
          <w:i/>
          <w:sz w:val="24"/>
          <w:szCs w:val="24"/>
        </w:rPr>
        <w:t>communautaire</w:t>
      </w:r>
      <w:proofErr w:type="spellEnd"/>
      <w:r w:rsidR="007E124B">
        <w:rPr>
          <w:rFonts w:ascii="Times New Roman" w:hAnsi="Times New Roman"/>
          <w:sz w:val="24"/>
          <w:szCs w:val="24"/>
        </w:rPr>
        <w:t>;</w:t>
      </w:r>
    </w:p>
    <w:p w:rsidR="006E28BF" w:rsidRPr="00E22F13" w:rsidRDefault="006E28BF" w:rsidP="007E124B">
      <w:pPr>
        <w:pStyle w:val="ListParagraph"/>
        <w:numPr>
          <w:ilvl w:val="0"/>
          <w:numId w:val="42"/>
        </w:numPr>
        <w:spacing w:after="0"/>
        <w:jc w:val="both"/>
        <w:rPr>
          <w:rFonts w:ascii="Times New Roman" w:hAnsi="Times New Roman"/>
          <w:sz w:val="24"/>
          <w:szCs w:val="24"/>
        </w:rPr>
      </w:pPr>
      <w:r w:rsidRPr="00E22F13">
        <w:rPr>
          <w:rFonts w:ascii="Times New Roman" w:hAnsi="Times New Roman"/>
          <w:sz w:val="24"/>
          <w:szCs w:val="24"/>
        </w:rPr>
        <w:t>Bashkëpunimi dhe partneriteti me homologët e shteteve anëtare të BE-së dhe institucionet shtetërore;</w:t>
      </w:r>
    </w:p>
    <w:p w:rsidR="006E28BF" w:rsidRPr="00E22F13" w:rsidRDefault="006E28BF" w:rsidP="007E124B">
      <w:pPr>
        <w:pStyle w:val="ListParagraph"/>
        <w:numPr>
          <w:ilvl w:val="0"/>
          <w:numId w:val="42"/>
        </w:numPr>
        <w:spacing w:after="0"/>
        <w:jc w:val="both"/>
        <w:rPr>
          <w:rFonts w:ascii="Times New Roman" w:hAnsi="Times New Roman"/>
          <w:sz w:val="24"/>
          <w:szCs w:val="24"/>
        </w:rPr>
      </w:pPr>
      <w:r w:rsidRPr="00E22F13">
        <w:rPr>
          <w:rFonts w:ascii="Times New Roman" w:hAnsi="Times New Roman"/>
          <w:sz w:val="24"/>
          <w:szCs w:val="24"/>
        </w:rPr>
        <w:t>Mbrojtja e të dhënave personale në sektorin e teknologjisë së informacionit dhe komunikimit;</w:t>
      </w:r>
    </w:p>
    <w:p w:rsidR="006E28BF" w:rsidRPr="00E22F13" w:rsidRDefault="006E28BF" w:rsidP="007E124B">
      <w:pPr>
        <w:pStyle w:val="ListParagraph"/>
        <w:numPr>
          <w:ilvl w:val="0"/>
          <w:numId w:val="42"/>
        </w:numPr>
        <w:spacing w:after="0"/>
        <w:jc w:val="both"/>
        <w:rPr>
          <w:rFonts w:ascii="Times New Roman" w:hAnsi="Times New Roman"/>
          <w:sz w:val="24"/>
          <w:szCs w:val="24"/>
        </w:rPr>
      </w:pPr>
      <w:r w:rsidRPr="00E22F13">
        <w:rPr>
          <w:rFonts w:ascii="Times New Roman" w:hAnsi="Times New Roman"/>
          <w:sz w:val="24"/>
          <w:szCs w:val="24"/>
        </w:rPr>
        <w:t>Njohja dhe ndërgjegjësimi i kontrolluesve publik dhe atyre privat mbi risitë e ligjit të ri të harmonizuar;</w:t>
      </w:r>
    </w:p>
    <w:p w:rsidR="006E28BF" w:rsidRPr="00E22F13" w:rsidRDefault="006E28BF" w:rsidP="007E124B">
      <w:pPr>
        <w:pStyle w:val="ListParagraph"/>
        <w:numPr>
          <w:ilvl w:val="0"/>
          <w:numId w:val="42"/>
        </w:numPr>
        <w:spacing w:after="0"/>
        <w:jc w:val="both"/>
        <w:rPr>
          <w:rFonts w:ascii="Times New Roman" w:hAnsi="Times New Roman"/>
          <w:sz w:val="24"/>
          <w:szCs w:val="24"/>
        </w:rPr>
      </w:pPr>
      <w:r w:rsidRPr="00E22F13">
        <w:rPr>
          <w:rFonts w:ascii="Times New Roman" w:hAnsi="Times New Roman"/>
          <w:sz w:val="24"/>
          <w:szCs w:val="24"/>
        </w:rPr>
        <w:t xml:space="preserve">Edukimi i studentëve për të drejtat dhe përgjegjësitë e përdorimit të </w:t>
      </w:r>
      <w:proofErr w:type="spellStart"/>
      <w:r w:rsidRPr="00E22F13">
        <w:rPr>
          <w:rFonts w:ascii="Times New Roman" w:hAnsi="Times New Roman"/>
          <w:sz w:val="24"/>
          <w:szCs w:val="24"/>
        </w:rPr>
        <w:t>të</w:t>
      </w:r>
      <w:proofErr w:type="spellEnd"/>
      <w:r w:rsidRPr="00E22F13">
        <w:rPr>
          <w:rFonts w:ascii="Times New Roman" w:hAnsi="Times New Roman"/>
          <w:sz w:val="24"/>
          <w:szCs w:val="24"/>
        </w:rPr>
        <w:t xml:space="preserve"> dhënave personale në sistemin digjital.</w:t>
      </w:r>
    </w:p>
    <w:p w:rsidR="004C7568" w:rsidRDefault="004C7568" w:rsidP="007E124B">
      <w:pPr>
        <w:spacing w:line="276" w:lineRule="auto"/>
        <w:jc w:val="both"/>
      </w:pPr>
    </w:p>
    <w:p w:rsidR="004C7568" w:rsidRDefault="004C7568" w:rsidP="007E124B">
      <w:pPr>
        <w:spacing w:line="276" w:lineRule="auto"/>
        <w:jc w:val="both"/>
      </w:pPr>
      <w:r w:rsidRPr="00792E1B">
        <w:t>Objektiv</w:t>
      </w:r>
      <w:r>
        <w:t>i</w:t>
      </w:r>
      <w:r w:rsidRPr="00792E1B">
        <w:t xml:space="preserve"> kryesor </w:t>
      </w:r>
      <w:r>
        <w:t>i</w:t>
      </w:r>
      <w:r w:rsidRPr="00792E1B">
        <w:t xml:space="preserve"> Zyrës së Komisionerit për </w:t>
      </w:r>
      <w:r w:rsidR="006E28BF">
        <w:t xml:space="preserve">vitin 2019 dhe </w:t>
      </w:r>
      <w:r w:rsidRPr="00792E1B">
        <w:t xml:space="preserve">Programin Buxhetor Afatmesëm 2020– 2022 në kuadër dhe të veprimtarisë së tij </w:t>
      </w:r>
      <w:r>
        <w:t>është</w:t>
      </w:r>
      <w:r w:rsidR="00E96AA7">
        <w:t>:</w:t>
      </w:r>
    </w:p>
    <w:p w:rsidR="004C7568" w:rsidRPr="00BD74B2" w:rsidRDefault="004C7568" w:rsidP="007E124B">
      <w:pPr>
        <w:spacing w:line="276" w:lineRule="auto"/>
        <w:jc w:val="both"/>
      </w:pPr>
    </w:p>
    <w:p w:rsidR="004C7568" w:rsidRPr="00BD74B2" w:rsidRDefault="004C7568" w:rsidP="007E124B">
      <w:pPr>
        <w:pStyle w:val="ListParagraph"/>
        <w:numPr>
          <w:ilvl w:val="0"/>
          <w:numId w:val="43"/>
        </w:numPr>
        <w:jc w:val="both"/>
        <w:rPr>
          <w:rFonts w:ascii="Times New Roman" w:hAnsi="Times New Roman"/>
          <w:sz w:val="24"/>
          <w:szCs w:val="24"/>
        </w:rPr>
      </w:pPr>
      <w:r w:rsidRPr="00BD74B2">
        <w:rPr>
          <w:rFonts w:ascii="Times New Roman" w:hAnsi="Times New Roman"/>
          <w:sz w:val="24"/>
          <w:szCs w:val="24"/>
        </w:rPr>
        <w:t>Fuqizimi i f</w:t>
      </w:r>
      <w:r>
        <w:rPr>
          <w:rFonts w:ascii="Times New Roman" w:hAnsi="Times New Roman"/>
          <w:sz w:val="24"/>
          <w:szCs w:val="24"/>
        </w:rPr>
        <w:t xml:space="preserve">unksionit mbikëqyrës/monitorues në funksion të </w:t>
      </w:r>
      <w:r w:rsidRPr="00BD74B2">
        <w:rPr>
          <w:rFonts w:ascii="Times New Roman" w:hAnsi="Times New Roman"/>
          <w:sz w:val="24"/>
          <w:szCs w:val="24"/>
        </w:rPr>
        <w:t xml:space="preserve">zbatimit të kuadrit </w:t>
      </w:r>
      <w:r>
        <w:rPr>
          <w:rFonts w:ascii="Times New Roman" w:hAnsi="Times New Roman"/>
          <w:sz w:val="24"/>
          <w:szCs w:val="24"/>
        </w:rPr>
        <w:t xml:space="preserve">ligjor në fuqi, për garantimin </w:t>
      </w:r>
      <w:r w:rsidRPr="00BD74B2">
        <w:rPr>
          <w:rFonts w:ascii="Times New Roman" w:hAnsi="Times New Roman"/>
          <w:sz w:val="24"/>
          <w:szCs w:val="24"/>
        </w:rPr>
        <w:t>e mbrojtjes së të dhënave personale dhe ruajtjen e privatësisë, në balancë me të drejtën i</w:t>
      </w:r>
      <w:r w:rsidR="005D6E93">
        <w:rPr>
          <w:rFonts w:ascii="Times New Roman" w:hAnsi="Times New Roman"/>
          <w:sz w:val="24"/>
          <w:szCs w:val="24"/>
        </w:rPr>
        <w:t xml:space="preserve">nformimit, duke garantuar qasje </w:t>
      </w:r>
      <w:r w:rsidRPr="00BD74B2">
        <w:rPr>
          <w:rFonts w:ascii="Times New Roman" w:hAnsi="Times New Roman"/>
          <w:sz w:val="24"/>
          <w:szCs w:val="24"/>
        </w:rPr>
        <w:t>në informacion, transparencë dhe llogaridhënie maksimale</w:t>
      </w:r>
      <w:r w:rsidR="005D6E93">
        <w:rPr>
          <w:rFonts w:ascii="Times New Roman" w:hAnsi="Times New Roman"/>
          <w:sz w:val="24"/>
          <w:szCs w:val="24"/>
        </w:rPr>
        <w:t>.</w:t>
      </w:r>
    </w:p>
    <w:p w:rsidR="004C7568" w:rsidRDefault="004C7568" w:rsidP="007E124B">
      <w:pPr>
        <w:spacing w:line="276" w:lineRule="auto"/>
        <w:jc w:val="both"/>
      </w:pPr>
      <w:r w:rsidRPr="00792E1B">
        <w:t>Treguesi</w:t>
      </w:r>
      <w:r>
        <w:t xml:space="preserve"> i</w:t>
      </w:r>
      <w:r w:rsidRPr="00792E1B">
        <w:t xml:space="preserve"> performancës në nivel qëllimi </w:t>
      </w:r>
      <w:r w:rsidR="006E28BF">
        <w:t xml:space="preserve">janë </w:t>
      </w:r>
      <w:r w:rsidRPr="00792E1B">
        <w:t xml:space="preserve">: </w:t>
      </w:r>
    </w:p>
    <w:p w:rsidR="004C7568" w:rsidRDefault="004C7568" w:rsidP="007E124B">
      <w:pPr>
        <w:spacing w:line="276" w:lineRule="auto"/>
        <w:jc w:val="both"/>
      </w:pPr>
    </w:p>
    <w:p w:rsidR="004C7568" w:rsidRDefault="004C7568" w:rsidP="007E124B">
      <w:pPr>
        <w:spacing w:line="276" w:lineRule="auto"/>
        <w:jc w:val="both"/>
      </w:pPr>
      <w:r>
        <w:t>-</w:t>
      </w:r>
      <w:r w:rsidRPr="00BD74B2">
        <w:t>Numri i vendimeve të Komisionerit t</w:t>
      </w:r>
      <w:r>
        <w:t>ë</w:t>
      </w:r>
      <w:r w:rsidRPr="00BD74B2">
        <w:t xml:space="preserve"> l</w:t>
      </w:r>
      <w:r>
        <w:t>ë</w:t>
      </w:r>
      <w:r w:rsidRPr="00BD74B2">
        <w:t>na n</w:t>
      </w:r>
      <w:r>
        <w:t>ë</w:t>
      </w:r>
      <w:r w:rsidRPr="00BD74B2">
        <w:t xml:space="preserve"> fuqi nga gjykata;</w:t>
      </w:r>
    </w:p>
    <w:p w:rsidR="004C7568" w:rsidRDefault="004C7568" w:rsidP="007E124B">
      <w:pPr>
        <w:spacing w:line="276" w:lineRule="auto"/>
        <w:jc w:val="both"/>
      </w:pPr>
    </w:p>
    <w:p w:rsidR="004C7568" w:rsidRPr="00792E1B" w:rsidRDefault="004C7568" w:rsidP="007E124B">
      <w:pPr>
        <w:spacing w:line="276" w:lineRule="auto"/>
        <w:jc w:val="both"/>
      </w:pPr>
      <w:r w:rsidRPr="00792E1B">
        <w:t xml:space="preserve">Ky tregues </w:t>
      </w:r>
      <w:r w:rsidR="007E124B">
        <w:t>performance</w:t>
      </w:r>
      <w:r w:rsidRPr="00792E1B">
        <w:t xml:space="preserve"> parashikohet të jetë në trend </w:t>
      </w:r>
      <w:r w:rsidRPr="00792E1B">
        <w:rPr>
          <w:b/>
        </w:rPr>
        <w:t xml:space="preserve">rritës </w:t>
      </w:r>
      <w:r w:rsidRPr="00792E1B">
        <w:t xml:space="preserve">nga viti në vit duke u nisur nga niveli aktual (rreth 55%) dhe duke sjellë kështu impaktin në publik të zbatimit të ligjit për mbrojtjen e të dhënave personale dhe garantimin e privatësisë si dhe zbatimin e ligjit për të drejtën e informimit dhe garantimin e aksesit në informacion të qytetarëve. </w:t>
      </w:r>
    </w:p>
    <w:p w:rsidR="004C7568" w:rsidRDefault="004C7568" w:rsidP="007E124B">
      <w:pPr>
        <w:spacing w:line="276" w:lineRule="auto"/>
        <w:jc w:val="both"/>
      </w:pPr>
    </w:p>
    <w:p w:rsidR="00EE6090" w:rsidRDefault="00EE6090" w:rsidP="007E124B">
      <w:pPr>
        <w:spacing w:line="276" w:lineRule="auto"/>
        <w:jc w:val="both"/>
      </w:pPr>
    </w:p>
    <w:p w:rsidR="005D6E93" w:rsidRDefault="005D6E93" w:rsidP="007E124B">
      <w:pPr>
        <w:spacing w:line="276" w:lineRule="auto"/>
        <w:jc w:val="both"/>
      </w:pPr>
    </w:p>
    <w:p w:rsidR="005D6E93" w:rsidRDefault="005D6E93" w:rsidP="007E124B">
      <w:pPr>
        <w:spacing w:line="276" w:lineRule="auto"/>
        <w:jc w:val="both"/>
      </w:pPr>
    </w:p>
    <w:p w:rsidR="005D6E93" w:rsidRDefault="005D6E93" w:rsidP="007E124B">
      <w:pPr>
        <w:spacing w:line="276" w:lineRule="auto"/>
        <w:jc w:val="both"/>
      </w:pPr>
    </w:p>
    <w:p w:rsidR="004C7568" w:rsidRDefault="004C7568" w:rsidP="007E124B">
      <w:pPr>
        <w:spacing w:line="276" w:lineRule="auto"/>
        <w:jc w:val="both"/>
      </w:pPr>
      <w:r>
        <w:lastRenderedPageBreak/>
        <w:t xml:space="preserve">Treguesit e </w:t>
      </w:r>
      <w:r w:rsidRPr="00792E1B">
        <w:t xml:space="preserve">performancës në nivel </w:t>
      </w:r>
      <w:r>
        <w:t>objektivi</w:t>
      </w:r>
      <w:r w:rsidRPr="00792E1B">
        <w:t xml:space="preserve"> do të jenë:</w:t>
      </w:r>
    </w:p>
    <w:p w:rsidR="004C7568" w:rsidRPr="00792E1B" w:rsidRDefault="004C7568" w:rsidP="007E124B">
      <w:pPr>
        <w:spacing w:line="276" w:lineRule="auto"/>
        <w:jc w:val="both"/>
      </w:pPr>
    </w:p>
    <w:p w:rsidR="004C7568" w:rsidRPr="00792E1B" w:rsidRDefault="004C7568" w:rsidP="007E124B">
      <w:pPr>
        <w:pStyle w:val="ListParagraph"/>
        <w:numPr>
          <w:ilvl w:val="0"/>
          <w:numId w:val="30"/>
        </w:numPr>
        <w:jc w:val="both"/>
        <w:rPr>
          <w:rFonts w:ascii="Times New Roman" w:hAnsi="Times New Roman"/>
          <w:b/>
          <w:color w:val="0D0D0D"/>
          <w:sz w:val="24"/>
          <w:szCs w:val="24"/>
          <w:lang w:val="en-US"/>
        </w:rPr>
      </w:pPr>
      <w:r w:rsidRPr="00792E1B">
        <w:rPr>
          <w:rFonts w:ascii="Times New Roman" w:hAnsi="Times New Roman"/>
          <w:b/>
          <w:color w:val="0D0D0D"/>
          <w:sz w:val="24"/>
          <w:szCs w:val="24"/>
          <w:lang w:val="en-US"/>
        </w:rPr>
        <w:t>Rritja</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e</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nivelit</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të</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zbatimit</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të</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Akteve</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të</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Komisionerit (vendimeve</w:t>
      </w:r>
      <w:r>
        <w:rPr>
          <w:rFonts w:ascii="Times New Roman" w:hAnsi="Times New Roman"/>
          <w:b/>
          <w:color w:val="0D0D0D"/>
          <w:sz w:val="24"/>
          <w:szCs w:val="24"/>
          <w:lang w:val="en-US"/>
        </w:rPr>
        <w:t xml:space="preserve">, rekomandimeve, </w:t>
      </w:r>
      <w:r w:rsidRPr="00792E1B">
        <w:rPr>
          <w:rFonts w:ascii="Times New Roman" w:hAnsi="Times New Roman"/>
          <w:b/>
          <w:color w:val="0D0D0D"/>
          <w:sz w:val="24"/>
          <w:szCs w:val="24"/>
          <w:lang w:val="en-US"/>
        </w:rPr>
        <w:t>urdhrave</w:t>
      </w:r>
      <w:r w:rsidR="006E28BF">
        <w:rPr>
          <w:rFonts w:ascii="Times New Roman" w:hAnsi="Times New Roman"/>
          <w:b/>
          <w:color w:val="0D0D0D"/>
          <w:sz w:val="24"/>
          <w:szCs w:val="24"/>
          <w:lang w:val="en-US"/>
        </w:rPr>
        <w:t xml:space="preserve"> </w:t>
      </w:r>
      <w:r w:rsidRPr="00792E1B">
        <w:rPr>
          <w:rFonts w:ascii="Times New Roman" w:hAnsi="Times New Roman"/>
          <w:b/>
          <w:color w:val="0D0D0D"/>
          <w:sz w:val="24"/>
          <w:szCs w:val="24"/>
          <w:lang w:val="en-US"/>
        </w:rPr>
        <w:t>etj</w:t>
      </w:r>
      <w:r w:rsidR="00E96AA7">
        <w:rPr>
          <w:rFonts w:ascii="Times New Roman" w:hAnsi="Times New Roman"/>
          <w:b/>
          <w:color w:val="0D0D0D"/>
          <w:sz w:val="24"/>
          <w:szCs w:val="24"/>
          <w:lang w:val="en-US"/>
        </w:rPr>
        <w:t>.</w:t>
      </w:r>
      <w:r w:rsidRPr="00792E1B">
        <w:rPr>
          <w:rFonts w:ascii="Times New Roman" w:hAnsi="Times New Roman"/>
          <w:b/>
          <w:color w:val="0D0D0D"/>
          <w:sz w:val="24"/>
          <w:szCs w:val="24"/>
          <w:lang w:val="en-US"/>
        </w:rPr>
        <w:t xml:space="preserve">) </w:t>
      </w:r>
    </w:p>
    <w:p w:rsidR="004C7568" w:rsidRPr="00792E1B" w:rsidRDefault="004C7568" w:rsidP="007E124B">
      <w:pPr>
        <w:spacing w:line="276" w:lineRule="auto"/>
        <w:jc w:val="both"/>
      </w:pPr>
      <w:r w:rsidRPr="00792E1B">
        <w:t xml:space="preserve">Ky tregues performance parashikohet të jetë në trend </w:t>
      </w:r>
      <w:r w:rsidRPr="00792E1B">
        <w:rPr>
          <w:b/>
        </w:rPr>
        <w:t xml:space="preserve">rritës </w:t>
      </w:r>
      <w:r w:rsidRPr="00792E1B">
        <w:t>nga viti në vit</w:t>
      </w:r>
      <w:r>
        <w:t>,</w:t>
      </w:r>
      <w:r w:rsidR="00E96AA7">
        <w:t xml:space="preserve"> </w:t>
      </w:r>
      <w:r w:rsidRPr="00792E1B">
        <w:t xml:space="preserve">duke u nisur nga </w:t>
      </w:r>
      <w:r>
        <w:t>pritshmëritë për vitin aktual 2019</w:t>
      </w:r>
      <w:r w:rsidR="006E28BF">
        <w:t xml:space="preserve"> </w:t>
      </w:r>
      <w:r w:rsidRPr="00792E1B">
        <w:t xml:space="preserve">(rreth </w:t>
      </w:r>
      <w:r>
        <w:t xml:space="preserve">60 </w:t>
      </w:r>
      <w:r w:rsidRPr="00792E1B">
        <w:t xml:space="preserve">%) dhe duke sjellë kështu impaktin në publik të zbatimit të ligjit për mbrojtjen e të dhënave personale dhe garantimin e privatësisë si dhe zbatimin e ligjit për të drejtën e informimit dhe garantimin e aksesit në informacion të qytetarëve. </w:t>
      </w:r>
    </w:p>
    <w:p w:rsidR="004C7568" w:rsidRPr="00792E1B" w:rsidRDefault="004C7568" w:rsidP="007E124B">
      <w:pPr>
        <w:spacing w:line="276" w:lineRule="auto"/>
        <w:jc w:val="both"/>
      </w:pPr>
    </w:p>
    <w:p w:rsidR="004C7568" w:rsidRPr="00792E1B" w:rsidRDefault="004C7568" w:rsidP="007E124B">
      <w:pPr>
        <w:pStyle w:val="ListParagraph"/>
        <w:numPr>
          <w:ilvl w:val="0"/>
          <w:numId w:val="30"/>
        </w:numPr>
        <w:jc w:val="both"/>
        <w:rPr>
          <w:rFonts w:ascii="Times New Roman" w:hAnsi="Times New Roman"/>
          <w:b/>
          <w:sz w:val="24"/>
          <w:szCs w:val="24"/>
        </w:rPr>
      </w:pPr>
      <w:r>
        <w:rPr>
          <w:rFonts w:ascii="Times New Roman" w:hAnsi="Times New Roman"/>
          <w:b/>
          <w:sz w:val="24"/>
          <w:szCs w:val="24"/>
        </w:rPr>
        <w:t xml:space="preserve">Rritja </w:t>
      </w:r>
      <w:r w:rsidRPr="00792E1B">
        <w:rPr>
          <w:rFonts w:ascii="Times New Roman" w:hAnsi="Times New Roman"/>
          <w:b/>
          <w:sz w:val="24"/>
          <w:szCs w:val="24"/>
        </w:rPr>
        <w:t>e përgjegjshmërisë së ko</w:t>
      </w:r>
      <w:r>
        <w:rPr>
          <w:rFonts w:ascii="Times New Roman" w:hAnsi="Times New Roman"/>
          <w:b/>
          <w:sz w:val="24"/>
          <w:szCs w:val="24"/>
        </w:rPr>
        <w:t>ntrolluesve publik e privat</w:t>
      </w:r>
      <w:r w:rsidR="006E28BF">
        <w:rPr>
          <w:rFonts w:ascii="Times New Roman" w:hAnsi="Times New Roman"/>
          <w:b/>
          <w:sz w:val="24"/>
          <w:szCs w:val="24"/>
        </w:rPr>
        <w:t xml:space="preserve"> </w:t>
      </w:r>
      <w:r w:rsidRPr="00792E1B">
        <w:rPr>
          <w:rFonts w:ascii="Times New Roman" w:hAnsi="Times New Roman"/>
          <w:b/>
          <w:sz w:val="24"/>
          <w:szCs w:val="24"/>
        </w:rPr>
        <w:t>(</w:t>
      </w:r>
      <w:r>
        <w:rPr>
          <w:rFonts w:ascii="Times New Roman" w:hAnsi="Times New Roman"/>
          <w:b/>
          <w:sz w:val="24"/>
          <w:szCs w:val="24"/>
        </w:rPr>
        <w:t>nr. Kontrolluesish</w:t>
      </w:r>
      <w:r w:rsidRPr="00792E1B">
        <w:rPr>
          <w:rFonts w:ascii="Times New Roman" w:hAnsi="Times New Roman"/>
          <w:b/>
          <w:sz w:val="24"/>
          <w:szCs w:val="24"/>
        </w:rPr>
        <w:t xml:space="preserve"> të regjistruar në regjistrin Kombëtar) </w:t>
      </w:r>
    </w:p>
    <w:p w:rsidR="004C7568" w:rsidRDefault="004C7568" w:rsidP="007E124B">
      <w:pPr>
        <w:spacing w:line="276" w:lineRule="auto"/>
        <w:ind w:left="142"/>
        <w:jc w:val="both"/>
      </w:pPr>
      <w:r w:rsidRPr="00792E1B">
        <w:t xml:space="preserve">Ky tregues performance parashikohet të jetë në trend </w:t>
      </w:r>
      <w:r w:rsidRPr="00792E1B">
        <w:rPr>
          <w:b/>
        </w:rPr>
        <w:t xml:space="preserve">rritës </w:t>
      </w:r>
      <w:r>
        <w:t xml:space="preserve">nga viti në vit, </w:t>
      </w:r>
      <w:r w:rsidRPr="00792E1B">
        <w:t xml:space="preserve">duke u nisur nga </w:t>
      </w:r>
      <w:r w:rsidR="00E96AA7">
        <w:t xml:space="preserve">pritshmëritë për </w:t>
      </w:r>
      <w:r>
        <w:t xml:space="preserve">vitin aktual 2019 </w:t>
      </w:r>
      <w:r w:rsidRPr="00792E1B">
        <w:t>(</w:t>
      </w:r>
      <w:r>
        <w:t>5870</w:t>
      </w:r>
      <w:r w:rsidRPr="00792E1B">
        <w:t xml:space="preserve"> kontrollues t</w:t>
      </w:r>
      <w:r>
        <w:t>ë</w:t>
      </w:r>
      <w:r w:rsidRPr="00792E1B">
        <w:t xml:space="preserve"> regjistruar në regjistrin kombëtar</w:t>
      </w:r>
      <w:r>
        <w:t>),</w:t>
      </w:r>
      <w:r w:rsidR="006E28BF">
        <w:t xml:space="preserve"> </w:t>
      </w:r>
      <w:r w:rsidRPr="00792E1B">
        <w:t>duke bërë të mundur që Zyra e Komisionerit të ketë një pamje të</w:t>
      </w:r>
      <w:r w:rsidR="006E28BF">
        <w:t xml:space="preserve"> </w:t>
      </w:r>
      <w:r w:rsidRPr="00792E1B">
        <w:t xml:space="preserve">përgjithshme të përpunimit të </w:t>
      </w:r>
      <w:proofErr w:type="spellStart"/>
      <w:r w:rsidRPr="00792E1B">
        <w:t>të</w:t>
      </w:r>
      <w:proofErr w:type="spellEnd"/>
      <w:r w:rsidRPr="00792E1B">
        <w:t xml:space="preserve"> dhënave personale. Procesi i njoftimit dhe mbik</w:t>
      </w:r>
      <w:r>
        <w:t>ë</w:t>
      </w:r>
      <w:r w:rsidRPr="00792E1B">
        <w:t xml:space="preserve">qyrja e tyre do të sjellë garantimin e privatësisë si dhe zbatimin e ligjit për mbrojtjen e të Dhënave Personale. </w:t>
      </w:r>
    </w:p>
    <w:p w:rsidR="004C7568" w:rsidRPr="00792E1B" w:rsidRDefault="004C7568" w:rsidP="007E124B">
      <w:pPr>
        <w:spacing w:line="276" w:lineRule="auto"/>
        <w:ind w:left="142"/>
        <w:jc w:val="both"/>
      </w:pPr>
    </w:p>
    <w:p w:rsidR="004C7568" w:rsidRPr="00792E1B" w:rsidRDefault="004C7568" w:rsidP="007E124B">
      <w:pPr>
        <w:pStyle w:val="ListParagraph"/>
        <w:numPr>
          <w:ilvl w:val="0"/>
          <w:numId w:val="30"/>
        </w:numPr>
        <w:jc w:val="both"/>
        <w:rPr>
          <w:rFonts w:ascii="Times New Roman" w:hAnsi="Times New Roman"/>
          <w:b/>
          <w:color w:val="262626" w:themeColor="text1" w:themeTint="D9"/>
          <w:sz w:val="24"/>
          <w:szCs w:val="24"/>
        </w:rPr>
      </w:pPr>
      <w:r w:rsidRPr="00792E1B">
        <w:rPr>
          <w:rFonts w:ascii="Times New Roman" w:hAnsi="Times New Roman"/>
          <w:b/>
          <w:sz w:val="24"/>
          <w:szCs w:val="24"/>
        </w:rPr>
        <w:t>Rritja e nivelit të transparencës nga AP</w:t>
      </w:r>
      <w:r w:rsidRPr="00792E1B">
        <w:rPr>
          <w:rFonts w:ascii="Times New Roman" w:hAnsi="Times New Roman"/>
          <w:sz w:val="24"/>
          <w:szCs w:val="24"/>
        </w:rPr>
        <w:t>.</w:t>
      </w:r>
    </w:p>
    <w:p w:rsidR="004C7568" w:rsidRPr="00BD74B2" w:rsidRDefault="004C7568" w:rsidP="007E124B">
      <w:pPr>
        <w:spacing w:line="276" w:lineRule="auto"/>
        <w:jc w:val="both"/>
      </w:pPr>
      <w:r w:rsidRPr="00792E1B">
        <w:t xml:space="preserve">Për të matur realizimin e këtij objektivi si dhe progresin e objektivit vit pas viti, treguesi do të matet si numri i Autoriteteve Publike me program transparence në raport/ndaj numrit të Autoriteteve Publike. Ky tregues performance parashikohet të jetë në trend </w:t>
      </w:r>
      <w:r w:rsidRPr="00792E1B">
        <w:rPr>
          <w:b/>
          <w:i/>
        </w:rPr>
        <w:t>rritës</w:t>
      </w:r>
      <w:r w:rsidRPr="00792E1B">
        <w:t xml:space="preserve"> vit pas viti, duke u nisur nga </w:t>
      </w:r>
      <w:r>
        <w:t>pritshmëritë për vitin aktual 2019</w:t>
      </w:r>
      <w:r w:rsidR="006E28BF">
        <w:t xml:space="preserve"> </w:t>
      </w:r>
      <w:r w:rsidRPr="00792E1B">
        <w:t xml:space="preserve">(50%), duke sjellë </w:t>
      </w:r>
      <w:r w:rsidRPr="00BD74B2">
        <w:t>kështu rritjen e transparencës së Autoriteteve Publike dh</w:t>
      </w:r>
      <w:r>
        <w:t>e impaktit që do të ketë në saj</w:t>
      </w:r>
      <w:r w:rsidRPr="00BD74B2">
        <w:t xml:space="preserve"> të rritjes së llogaridhënies së institucioneve ndaj qytetarëve. Kemi qëndruar në këtë nivel treguesi, pasi për shkak të ristrukturimit dhe reformimit të institucioneve publike (krijim ose mbyllje të tyre) numri ka ndryshuar në trendin zbritës. Në proporcion me ndryshimet, tre</w:t>
      </w:r>
      <w:r>
        <w:t xml:space="preserve">guesi do të këtë trend rritës. </w:t>
      </w:r>
      <w:r w:rsidRPr="00BD74B2">
        <w:t xml:space="preserve">Sot numri i AP është rreth 419 nga 525 të një viti më parë. </w:t>
      </w:r>
      <w:r w:rsidR="006E28BF">
        <w:t>Ndërkohë</w:t>
      </w:r>
      <w:r w:rsidR="005D6E93">
        <w:t xml:space="preserve"> do të vijohet me monitorimin e </w:t>
      </w:r>
      <w:r w:rsidR="006E28BF">
        <w:t xml:space="preserve">rritjes së cilësisë së programeve të transparencës,  plotësimin e </w:t>
      </w:r>
      <w:r w:rsidR="009A3375">
        <w:t>ç</w:t>
      </w:r>
      <w:r w:rsidR="006E28BF">
        <w:t>do rubrike t</w:t>
      </w:r>
      <w:r w:rsidR="009A3375">
        <w:t>ë</w:t>
      </w:r>
      <w:r w:rsidR="006E28BF">
        <w:t xml:space="preserve"> parashikuara n</w:t>
      </w:r>
      <w:r w:rsidR="009A3375">
        <w:t>ë</w:t>
      </w:r>
      <w:r w:rsidR="006E28BF">
        <w:t xml:space="preserve"> </w:t>
      </w:r>
      <w:r w:rsidR="007E124B">
        <w:t>legjislacionin</w:t>
      </w:r>
      <w:r w:rsidR="006E28BF">
        <w:t xml:space="preserve"> p</w:t>
      </w:r>
      <w:r w:rsidR="009A3375">
        <w:t>ë</w:t>
      </w:r>
      <w:r w:rsidR="006E28BF">
        <w:t>rkat</w:t>
      </w:r>
      <w:r w:rsidR="009A3375">
        <w:t>ë</w:t>
      </w:r>
      <w:r w:rsidR="006E28BF">
        <w:t xml:space="preserve">s. </w:t>
      </w:r>
    </w:p>
    <w:p w:rsidR="004C7568" w:rsidRPr="00792E1B" w:rsidRDefault="004C7568" w:rsidP="007E124B">
      <w:pPr>
        <w:spacing w:line="276" w:lineRule="auto"/>
        <w:jc w:val="both"/>
        <w:rPr>
          <w:b/>
          <w:color w:val="262626" w:themeColor="text1" w:themeTint="D9"/>
        </w:rPr>
      </w:pPr>
    </w:p>
    <w:p w:rsidR="004C7568" w:rsidRPr="00792E1B" w:rsidRDefault="004C7568" w:rsidP="007E124B">
      <w:pPr>
        <w:spacing w:line="276" w:lineRule="auto"/>
        <w:jc w:val="both"/>
        <w:rPr>
          <w:b/>
          <w:color w:val="262626" w:themeColor="text1" w:themeTint="D9"/>
        </w:rPr>
      </w:pPr>
      <w:r w:rsidRPr="00792E1B">
        <w:rPr>
          <w:b/>
          <w:color w:val="262626" w:themeColor="text1" w:themeTint="D9"/>
        </w:rPr>
        <w:t>Ndërkohë</w:t>
      </w:r>
      <w:r>
        <w:rPr>
          <w:b/>
          <w:color w:val="262626" w:themeColor="text1" w:themeTint="D9"/>
        </w:rPr>
        <w:t xml:space="preserve"> </w:t>
      </w:r>
      <w:r w:rsidRPr="00792E1B">
        <w:rPr>
          <w:b/>
          <w:color w:val="262626" w:themeColor="text1" w:themeTint="D9"/>
        </w:rPr>
        <w:t xml:space="preserve">ka edhe tregues të tjerë për matjen e performancës, në nivel </w:t>
      </w:r>
      <w:r w:rsidR="007E124B" w:rsidRPr="00792E1B">
        <w:rPr>
          <w:b/>
          <w:color w:val="262626" w:themeColor="text1" w:themeTint="D9"/>
        </w:rPr>
        <w:t xml:space="preserve">nen </w:t>
      </w:r>
      <w:r w:rsidR="007E124B">
        <w:rPr>
          <w:b/>
          <w:color w:val="262626" w:themeColor="text1" w:themeTint="D9"/>
        </w:rPr>
        <w:t>-</w:t>
      </w:r>
      <w:r w:rsidR="007E124B" w:rsidRPr="00792E1B">
        <w:rPr>
          <w:b/>
          <w:color w:val="262626" w:themeColor="text1" w:themeTint="D9"/>
        </w:rPr>
        <w:t>objektivash</w:t>
      </w:r>
      <w:r w:rsidRPr="00792E1B">
        <w:rPr>
          <w:b/>
          <w:color w:val="262626" w:themeColor="text1" w:themeTint="D9"/>
        </w:rPr>
        <w:t xml:space="preserve"> </w:t>
      </w:r>
      <w:r>
        <w:rPr>
          <w:b/>
          <w:color w:val="262626" w:themeColor="text1" w:themeTint="D9"/>
        </w:rPr>
        <w:t>si më poshtë</w:t>
      </w:r>
      <w:r w:rsidRPr="00792E1B">
        <w:rPr>
          <w:b/>
          <w:color w:val="262626" w:themeColor="text1" w:themeTint="D9"/>
        </w:rPr>
        <w:t xml:space="preserve">: </w:t>
      </w:r>
    </w:p>
    <w:p w:rsidR="009A3375" w:rsidRPr="00E22F13" w:rsidRDefault="009A3375" w:rsidP="007E124B">
      <w:pPr>
        <w:spacing w:line="276" w:lineRule="auto"/>
        <w:ind w:left="360"/>
        <w:jc w:val="both"/>
        <w:rPr>
          <w:rFonts w:eastAsia="Calibri"/>
          <w:color w:val="262626" w:themeColor="text1" w:themeTint="D9"/>
        </w:rPr>
      </w:pPr>
    </w:p>
    <w:p w:rsidR="009A3375" w:rsidRPr="00E22F13" w:rsidRDefault="009A3375" w:rsidP="007E124B">
      <w:pPr>
        <w:pStyle w:val="ListParagraph"/>
        <w:numPr>
          <w:ilvl w:val="0"/>
          <w:numId w:val="20"/>
        </w:numPr>
        <w:spacing w:after="0"/>
        <w:ind w:left="720"/>
        <w:contextualSpacing w:val="0"/>
        <w:jc w:val="both"/>
        <w:rPr>
          <w:rFonts w:ascii="Times New Roman" w:hAnsi="Times New Roman"/>
          <w:color w:val="262626" w:themeColor="text1" w:themeTint="D9"/>
          <w:sz w:val="24"/>
          <w:szCs w:val="24"/>
        </w:rPr>
      </w:pPr>
      <w:r w:rsidRPr="00E22F13">
        <w:rPr>
          <w:rFonts w:ascii="Times New Roman" w:hAnsi="Times New Roman"/>
          <w:color w:val="262626" w:themeColor="text1" w:themeTint="D9"/>
          <w:sz w:val="24"/>
          <w:szCs w:val="24"/>
        </w:rPr>
        <w:t>Ulja e numrit të vendimeve me sanksion administrativ, përkundrejt numrit të inspektimeve të kryera.</w:t>
      </w:r>
    </w:p>
    <w:p w:rsidR="009A3375" w:rsidRPr="00E22F13" w:rsidRDefault="009A3375" w:rsidP="007E124B">
      <w:pPr>
        <w:pStyle w:val="ListParagraph"/>
        <w:numPr>
          <w:ilvl w:val="0"/>
          <w:numId w:val="20"/>
        </w:numPr>
        <w:spacing w:after="0"/>
        <w:ind w:left="720"/>
        <w:contextualSpacing w:val="0"/>
        <w:jc w:val="both"/>
        <w:rPr>
          <w:rFonts w:ascii="Times New Roman" w:hAnsi="Times New Roman"/>
          <w:color w:val="262626" w:themeColor="text1" w:themeTint="D9"/>
          <w:sz w:val="24"/>
          <w:szCs w:val="24"/>
        </w:rPr>
      </w:pPr>
      <w:r w:rsidRPr="00E22F13">
        <w:rPr>
          <w:rFonts w:ascii="Times New Roman" w:hAnsi="Times New Roman"/>
          <w:color w:val="262626" w:themeColor="text1" w:themeTint="D9"/>
          <w:sz w:val="24"/>
          <w:szCs w:val="24"/>
        </w:rPr>
        <w:t>Rritja e numrit të hetimeve administrative, duke ulur gjetjet dhe nivelin e riskut në cënimin e privatësisë.</w:t>
      </w:r>
    </w:p>
    <w:p w:rsidR="009A3375" w:rsidRDefault="009A3375" w:rsidP="007E124B">
      <w:pPr>
        <w:pStyle w:val="ListParagraph"/>
        <w:numPr>
          <w:ilvl w:val="0"/>
          <w:numId w:val="20"/>
        </w:numPr>
        <w:spacing w:after="0"/>
        <w:ind w:left="720"/>
        <w:contextualSpacing w:val="0"/>
        <w:jc w:val="both"/>
        <w:rPr>
          <w:rFonts w:ascii="Times New Roman" w:hAnsi="Times New Roman"/>
          <w:color w:val="262626" w:themeColor="text1" w:themeTint="D9"/>
          <w:sz w:val="24"/>
          <w:szCs w:val="24"/>
        </w:rPr>
      </w:pPr>
      <w:r w:rsidRPr="00E22F13">
        <w:rPr>
          <w:rFonts w:ascii="Times New Roman" w:hAnsi="Times New Roman"/>
          <w:color w:val="262626" w:themeColor="text1" w:themeTint="D9"/>
          <w:sz w:val="24"/>
          <w:szCs w:val="24"/>
        </w:rPr>
        <w:t>Përqindja e lartë e depozitimit vullnetarisht të masës së gjobës, përkundrejt detyrimit nga shoqëritë përmbarimore.</w:t>
      </w:r>
    </w:p>
    <w:p w:rsidR="009A3375" w:rsidRPr="00E22F13" w:rsidRDefault="009A3375" w:rsidP="007E124B">
      <w:pPr>
        <w:pStyle w:val="ListParagraph"/>
        <w:spacing w:after="0"/>
        <w:contextualSpacing w:val="0"/>
        <w:jc w:val="both"/>
        <w:rPr>
          <w:rFonts w:ascii="Times New Roman" w:hAnsi="Times New Roman"/>
          <w:color w:val="262626" w:themeColor="text1" w:themeTint="D9"/>
          <w:sz w:val="24"/>
          <w:szCs w:val="24"/>
        </w:rPr>
      </w:pPr>
    </w:p>
    <w:p w:rsidR="009A3375" w:rsidRDefault="004C7568" w:rsidP="007E124B">
      <w:pPr>
        <w:pStyle w:val="BodyText"/>
        <w:spacing w:after="0" w:line="276" w:lineRule="auto"/>
        <w:jc w:val="both"/>
      </w:pPr>
      <w:r>
        <w:lastRenderedPageBreak/>
        <w:t>P</w:t>
      </w:r>
      <w:r w:rsidR="00FD14E7" w:rsidRPr="00EA6A72">
        <w:t>rodukt</w:t>
      </w:r>
      <w:r>
        <w:t xml:space="preserve">i i vetëm i përcaktuar edhe gjatë negociatave me MFE, është </w:t>
      </w:r>
      <w:r w:rsidRPr="004C7568">
        <w:rPr>
          <w:b/>
        </w:rPr>
        <w:t>Mbikëqyrje/ inspektime të kryera</w:t>
      </w:r>
      <w:r w:rsidR="007E124B">
        <w:rPr>
          <w:b/>
        </w:rPr>
        <w:t xml:space="preserve"> </w:t>
      </w:r>
      <w:r w:rsidRPr="004C7568">
        <w:rPr>
          <w:b/>
        </w:rPr>
        <w:t>&amp;</w:t>
      </w:r>
      <w:r w:rsidR="007E124B">
        <w:rPr>
          <w:b/>
        </w:rPr>
        <w:t xml:space="preserve"> </w:t>
      </w:r>
      <w:r w:rsidRPr="004C7568">
        <w:rPr>
          <w:b/>
        </w:rPr>
        <w:t>ankesa t</w:t>
      </w:r>
      <w:r>
        <w:rPr>
          <w:b/>
        </w:rPr>
        <w:t>ë</w:t>
      </w:r>
      <w:r w:rsidRPr="004C7568">
        <w:rPr>
          <w:b/>
        </w:rPr>
        <w:t xml:space="preserve"> trajtu</w:t>
      </w:r>
      <w:r>
        <w:rPr>
          <w:b/>
        </w:rPr>
        <w:t xml:space="preserve">ara, </w:t>
      </w:r>
      <w:r w:rsidRPr="00E0425A">
        <w:t xml:space="preserve">ku është parashikuar nr. </w:t>
      </w:r>
      <w:r w:rsidRPr="00E0425A">
        <w:rPr>
          <w:b/>
        </w:rPr>
        <w:t>1400 veprime</w:t>
      </w:r>
      <w:r w:rsidR="001F481D">
        <w:rPr>
          <w:b/>
        </w:rPr>
        <w:t>.</w:t>
      </w:r>
      <w:r w:rsidRPr="00E0425A">
        <w:t xml:space="preserve"> </w:t>
      </w:r>
    </w:p>
    <w:p w:rsidR="009A3375" w:rsidRDefault="009A3375" w:rsidP="007E124B">
      <w:pPr>
        <w:pStyle w:val="BodyText"/>
        <w:spacing w:after="0" w:line="276" w:lineRule="auto"/>
        <w:jc w:val="both"/>
      </w:pPr>
    </w:p>
    <w:p w:rsidR="00E0425A" w:rsidRDefault="004C7568" w:rsidP="007E124B">
      <w:pPr>
        <w:pStyle w:val="BodyText"/>
        <w:spacing w:after="0" w:line="276" w:lineRule="auto"/>
        <w:jc w:val="both"/>
      </w:pPr>
      <w:r w:rsidRPr="00E0425A">
        <w:t>N</w:t>
      </w:r>
      <w:r w:rsidR="00E0425A">
        <w:t>ë</w:t>
      </w:r>
      <w:r w:rsidRPr="00E0425A">
        <w:t xml:space="preserve"> k</w:t>
      </w:r>
      <w:r w:rsidR="00E0425A">
        <w:t>ë</w:t>
      </w:r>
      <w:r w:rsidRPr="00E0425A">
        <w:t>t</w:t>
      </w:r>
      <w:r w:rsidR="00E0425A">
        <w:t>ë</w:t>
      </w:r>
      <w:r w:rsidRPr="00E0425A">
        <w:t xml:space="preserve"> produkt jan</w:t>
      </w:r>
      <w:r w:rsidR="00E0425A">
        <w:t>ë</w:t>
      </w:r>
      <w:r w:rsidRPr="00E0425A">
        <w:t xml:space="preserve"> p</w:t>
      </w:r>
      <w:r w:rsidR="00E0425A">
        <w:t>ë</w:t>
      </w:r>
      <w:r w:rsidRPr="00E0425A">
        <w:t>rfshir</w:t>
      </w:r>
      <w:r w:rsidR="00E0425A">
        <w:t xml:space="preserve">ë </w:t>
      </w:r>
      <w:r w:rsidRPr="00E0425A">
        <w:t>disa aktivitete dhe n</w:t>
      </w:r>
      <w:r w:rsidR="00E0425A">
        <w:t>ën</w:t>
      </w:r>
      <w:r w:rsidRPr="00E0425A">
        <w:t>produkte n</w:t>
      </w:r>
      <w:r w:rsidR="00E0425A">
        <w:t>ë</w:t>
      </w:r>
      <w:r w:rsidRPr="00E0425A">
        <w:t xml:space="preserve"> t</w:t>
      </w:r>
      <w:r w:rsidR="00E0425A">
        <w:t xml:space="preserve">ë </w:t>
      </w:r>
      <w:r w:rsidRPr="00E0425A">
        <w:t xml:space="preserve">dy shtyllat kryesore </w:t>
      </w:r>
    </w:p>
    <w:p w:rsidR="00E96AA7" w:rsidRDefault="00E96AA7" w:rsidP="007E124B">
      <w:pPr>
        <w:pStyle w:val="BodyText"/>
        <w:spacing w:after="0" w:line="276" w:lineRule="auto"/>
        <w:jc w:val="both"/>
        <w:rPr>
          <w:b/>
        </w:rPr>
      </w:pPr>
    </w:p>
    <w:p w:rsidR="00E96AA7" w:rsidRDefault="00E96AA7" w:rsidP="007E124B">
      <w:pPr>
        <w:pStyle w:val="BodyText"/>
        <w:spacing w:after="0" w:line="276" w:lineRule="auto"/>
        <w:jc w:val="both"/>
        <w:rPr>
          <w:b/>
        </w:rPr>
      </w:pPr>
    </w:p>
    <w:p w:rsidR="004C7568" w:rsidRPr="00E0425A" w:rsidRDefault="00E0425A" w:rsidP="007E124B">
      <w:pPr>
        <w:pStyle w:val="BodyText"/>
        <w:spacing w:after="0" w:line="276" w:lineRule="auto"/>
        <w:jc w:val="both"/>
        <w:rPr>
          <w:b/>
        </w:rPr>
      </w:pPr>
      <w:r w:rsidRPr="00E0425A">
        <w:rPr>
          <w:b/>
        </w:rPr>
        <w:t xml:space="preserve">E drejta e informimit </w:t>
      </w:r>
      <w:r w:rsidR="004C7568" w:rsidRPr="00E0425A">
        <w:rPr>
          <w:b/>
        </w:rPr>
        <w:t xml:space="preserve">: </w:t>
      </w:r>
    </w:p>
    <w:p w:rsidR="00FD14E7" w:rsidRPr="00EA6A72" w:rsidRDefault="00FD14E7" w:rsidP="007E124B">
      <w:pPr>
        <w:pStyle w:val="BodyText"/>
        <w:spacing w:after="0" w:line="276" w:lineRule="auto"/>
        <w:jc w:val="both"/>
      </w:pPr>
    </w:p>
    <w:p w:rsidR="00FD14E7" w:rsidRPr="00EA6A72" w:rsidRDefault="00FD14E7" w:rsidP="007E124B">
      <w:pPr>
        <w:pStyle w:val="ListParagraph"/>
        <w:numPr>
          <w:ilvl w:val="0"/>
          <w:numId w:val="29"/>
        </w:numPr>
        <w:jc w:val="both"/>
        <w:rPr>
          <w:rFonts w:ascii="Times New Roman" w:hAnsi="Times New Roman"/>
          <w:b/>
          <w:sz w:val="24"/>
          <w:szCs w:val="24"/>
        </w:rPr>
      </w:pPr>
      <w:r w:rsidRPr="00EA6A72">
        <w:rPr>
          <w:rFonts w:ascii="Times New Roman" w:hAnsi="Times New Roman"/>
          <w:b/>
          <w:sz w:val="24"/>
          <w:szCs w:val="24"/>
        </w:rPr>
        <w:t xml:space="preserve">Autoritete Publike me </w:t>
      </w:r>
      <w:r w:rsidR="009A3375">
        <w:rPr>
          <w:rFonts w:ascii="Times New Roman" w:hAnsi="Times New Roman"/>
          <w:b/>
          <w:sz w:val="24"/>
          <w:szCs w:val="24"/>
        </w:rPr>
        <w:t xml:space="preserve">programe dhe </w:t>
      </w:r>
      <w:r w:rsidRPr="00EA6A72">
        <w:rPr>
          <w:rFonts w:ascii="Times New Roman" w:hAnsi="Times New Roman"/>
          <w:b/>
          <w:sz w:val="24"/>
          <w:szCs w:val="24"/>
        </w:rPr>
        <w:t>transparencë të plotë</w:t>
      </w:r>
    </w:p>
    <w:p w:rsidR="00FD14E7" w:rsidRPr="009A3375" w:rsidRDefault="00FD14E7" w:rsidP="007E124B">
      <w:pPr>
        <w:spacing w:line="276" w:lineRule="auto"/>
        <w:jc w:val="both"/>
      </w:pPr>
      <w:r w:rsidRPr="009A3375">
        <w:t xml:space="preserve">Sigurimi i </w:t>
      </w:r>
      <w:r w:rsidR="00E96AA7">
        <w:t xml:space="preserve">Transparencës </w:t>
      </w:r>
      <w:r w:rsidRPr="009A3375">
        <w:t>së veprimtarisë së Autoriteteve Publike, nëpërmjet realizimit të proceseve të monitorimit</w:t>
      </w:r>
      <w:r w:rsidR="00E96AA7">
        <w:t xml:space="preserve">/mbikëqyrjes </w:t>
      </w:r>
      <w:r w:rsidR="009A3375">
        <w:t>s</w:t>
      </w:r>
      <w:r w:rsidRPr="009A3375">
        <w:t>ë elementëve të ndryshëm të zbatimit të ligjit për të drejtën e informimit</w:t>
      </w:r>
      <w:r w:rsidR="00E0425A" w:rsidRPr="009A3375">
        <w:t xml:space="preserve"> ( hartimit të programeve të transparencës si dhe përmirësimit të cilësisë së tyre) </w:t>
      </w:r>
    </w:p>
    <w:p w:rsidR="00FD14E7" w:rsidRPr="009A3375" w:rsidRDefault="00FD14E7" w:rsidP="007E124B">
      <w:pPr>
        <w:spacing w:line="276" w:lineRule="auto"/>
        <w:jc w:val="both"/>
      </w:pPr>
    </w:p>
    <w:p w:rsidR="004C7568" w:rsidRPr="009A3375" w:rsidRDefault="00FD14E7" w:rsidP="007E124B">
      <w:pPr>
        <w:pStyle w:val="ListParagraph"/>
        <w:numPr>
          <w:ilvl w:val="0"/>
          <w:numId w:val="29"/>
        </w:numPr>
        <w:spacing w:after="160"/>
        <w:jc w:val="both"/>
        <w:rPr>
          <w:rFonts w:ascii="Times New Roman" w:hAnsi="Times New Roman"/>
          <w:sz w:val="24"/>
          <w:szCs w:val="24"/>
        </w:rPr>
      </w:pPr>
      <w:r w:rsidRPr="009A3375">
        <w:rPr>
          <w:rFonts w:ascii="Times New Roman" w:hAnsi="Times New Roman"/>
          <w:b/>
          <w:sz w:val="24"/>
          <w:szCs w:val="24"/>
        </w:rPr>
        <w:t>Trajtim i ankesave brenda</w:t>
      </w:r>
      <w:r w:rsidR="00E96AA7">
        <w:rPr>
          <w:rFonts w:ascii="Times New Roman" w:hAnsi="Times New Roman"/>
          <w:sz w:val="24"/>
          <w:szCs w:val="24"/>
        </w:rPr>
        <w:t xml:space="preserve"> afateve dhe </w:t>
      </w:r>
      <w:r w:rsidR="009A3375">
        <w:rPr>
          <w:rFonts w:ascii="Times New Roman" w:hAnsi="Times New Roman"/>
          <w:sz w:val="24"/>
          <w:szCs w:val="24"/>
        </w:rPr>
        <w:t>(</w:t>
      </w:r>
      <w:r w:rsidRPr="009A3375">
        <w:rPr>
          <w:rFonts w:ascii="Times New Roman" w:hAnsi="Times New Roman"/>
          <w:sz w:val="24"/>
          <w:szCs w:val="24"/>
        </w:rPr>
        <w:t xml:space="preserve">kthim </w:t>
      </w:r>
      <w:r w:rsidR="00E96AA7" w:rsidRPr="009A3375">
        <w:rPr>
          <w:rFonts w:ascii="Times New Roman" w:hAnsi="Times New Roman"/>
          <w:sz w:val="24"/>
          <w:szCs w:val="24"/>
        </w:rPr>
        <w:t>përg</w:t>
      </w:r>
      <w:r w:rsidR="00E96AA7">
        <w:rPr>
          <w:rFonts w:ascii="Times New Roman" w:hAnsi="Times New Roman"/>
          <w:sz w:val="24"/>
          <w:szCs w:val="24"/>
        </w:rPr>
        <w:t>jigje</w:t>
      </w:r>
      <w:r w:rsidR="009A3375">
        <w:rPr>
          <w:rFonts w:ascii="Times New Roman" w:hAnsi="Times New Roman"/>
          <w:sz w:val="24"/>
          <w:szCs w:val="24"/>
        </w:rPr>
        <w:t>/inspektime/</w:t>
      </w:r>
      <w:r w:rsidRPr="009A3375">
        <w:rPr>
          <w:rFonts w:ascii="Times New Roman" w:hAnsi="Times New Roman"/>
          <w:sz w:val="24"/>
          <w:szCs w:val="24"/>
        </w:rPr>
        <w:t>vendime,  kryesisht në bazë të ankesave)</w:t>
      </w:r>
    </w:p>
    <w:p w:rsidR="009A3375" w:rsidRPr="009A3375" w:rsidRDefault="00FD14E7" w:rsidP="007E124B">
      <w:pPr>
        <w:spacing w:after="160" w:line="276" w:lineRule="auto"/>
        <w:jc w:val="both"/>
      </w:pPr>
      <w:r w:rsidRPr="009A3375">
        <w:t xml:space="preserve">Ankesa të trajtuara në kuadër të parashikimeve të Ligjit “Për të Drejtën e Informimit” si dhe Ligjit “Për </w:t>
      </w:r>
      <w:r w:rsidR="007E124B" w:rsidRPr="009A3375">
        <w:t>njoftimin</w:t>
      </w:r>
      <w:r w:rsidRPr="009A3375">
        <w:t xml:space="preserve"> </w:t>
      </w:r>
      <w:r w:rsidR="009A3375">
        <w:t xml:space="preserve">dhe konsultimin publik”, </w:t>
      </w:r>
      <w:r w:rsidRPr="009A3375">
        <w:t>hetime</w:t>
      </w:r>
      <w:r w:rsidR="009A3375">
        <w:t xml:space="preserve"> të</w:t>
      </w:r>
      <w:r w:rsidRPr="009A3375">
        <w:t xml:space="preserve"> kryera, seanca dëgjimore të zhvilluara </w:t>
      </w:r>
      <w:r w:rsidR="00E96AA7">
        <w:t xml:space="preserve">si dhe vendime të dhëna, duke rritur në këtë mënyrë </w:t>
      </w:r>
      <w:r w:rsidRPr="009A3375">
        <w:t>kontrollin mbi veprimtarinë e administratës publike, garantimi i të drejtave të qytetarëve dhe aksesi në informacion.</w:t>
      </w:r>
    </w:p>
    <w:p w:rsidR="00B9634F" w:rsidRPr="009A3375" w:rsidRDefault="00E0425A" w:rsidP="007E124B">
      <w:pPr>
        <w:spacing w:line="276" w:lineRule="auto"/>
        <w:jc w:val="both"/>
        <w:rPr>
          <w:b/>
        </w:rPr>
      </w:pPr>
      <w:r w:rsidRPr="009A3375">
        <w:rPr>
          <w:b/>
        </w:rPr>
        <w:t xml:space="preserve">Mbrojtja e të dhënave personale </w:t>
      </w:r>
    </w:p>
    <w:p w:rsidR="00B9634F" w:rsidRPr="009A3375" w:rsidRDefault="00B9634F" w:rsidP="007E124B">
      <w:pPr>
        <w:pStyle w:val="BodyText"/>
        <w:spacing w:after="0" w:line="276" w:lineRule="auto"/>
        <w:jc w:val="both"/>
      </w:pPr>
    </w:p>
    <w:p w:rsidR="00B9634F" w:rsidRPr="009A3375" w:rsidRDefault="007E124B" w:rsidP="007E124B">
      <w:pPr>
        <w:pStyle w:val="BodyText"/>
        <w:numPr>
          <w:ilvl w:val="0"/>
          <w:numId w:val="29"/>
        </w:numPr>
        <w:spacing w:after="0" w:line="276" w:lineRule="auto"/>
        <w:jc w:val="both"/>
        <w:rPr>
          <w:b/>
        </w:rPr>
      </w:pPr>
      <w:r>
        <w:rPr>
          <w:b/>
        </w:rPr>
        <w:t>Mbikëqyrje</w:t>
      </w:r>
      <w:r w:rsidR="00E96AA7">
        <w:rPr>
          <w:b/>
        </w:rPr>
        <w:t xml:space="preserve"> dhe inspektime</w:t>
      </w:r>
    </w:p>
    <w:p w:rsidR="001133CC" w:rsidRPr="009A3375" w:rsidRDefault="001133CC" w:rsidP="007E124B">
      <w:pPr>
        <w:pStyle w:val="BodyText"/>
        <w:spacing w:after="0" w:line="276" w:lineRule="auto"/>
        <w:ind w:left="720"/>
        <w:jc w:val="both"/>
        <w:rPr>
          <w:b/>
        </w:rPr>
      </w:pPr>
    </w:p>
    <w:p w:rsidR="00B9634F" w:rsidRPr="009A3375" w:rsidRDefault="00B9634F" w:rsidP="007E124B">
      <w:pPr>
        <w:pStyle w:val="BodyText"/>
        <w:spacing w:after="0" w:line="276" w:lineRule="auto"/>
        <w:jc w:val="both"/>
      </w:pPr>
      <w:r w:rsidRPr="009A3375">
        <w:t xml:space="preserve">Nëpërmjet procedurave për realizimin e këtij produkti do të bëhet e </w:t>
      </w:r>
      <w:r w:rsidR="00E96AA7">
        <w:t xml:space="preserve">mundur minimizimi i rrezikut të </w:t>
      </w:r>
      <w:r w:rsidRPr="009A3375">
        <w:t xml:space="preserve">cënimit të </w:t>
      </w:r>
      <w:r w:rsidR="00E96AA7">
        <w:t xml:space="preserve">privatësisë dhe mbrojtjes së të </w:t>
      </w:r>
      <w:r w:rsidR="007E124B">
        <w:t>dhënave personale; n</w:t>
      </w:r>
      <w:r w:rsidRPr="009A3375">
        <w:t>dërgjegjësimi dhe disiplinimi i kontrolluesve</w:t>
      </w:r>
      <w:r w:rsidR="007E124B">
        <w:t>; k</w:t>
      </w:r>
      <w:r w:rsidRPr="009A3375">
        <w:t xml:space="preserve">rijimi i praktikës së mirë për kontrolluesit. </w:t>
      </w:r>
    </w:p>
    <w:p w:rsidR="00B9634F" w:rsidRPr="009A3375" w:rsidRDefault="00B9634F" w:rsidP="007E124B">
      <w:pPr>
        <w:pStyle w:val="BodyText"/>
        <w:spacing w:after="0" w:line="276" w:lineRule="auto"/>
        <w:jc w:val="both"/>
      </w:pPr>
    </w:p>
    <w:p w:rsidR="00B9634F" w:rsidRPr="009A3375" w:rsidRDefault="00B9634F" w:rsidP="007E124B">
      <w:pPr>
        <w:pStyle w:val="ListParagraph"/>
        <w:numPr>
          <w:ilvl w:val="0"/>
          <w:numId w:val="29"/>
        </w:numPr>
        <w:jc w:val="both"/>
        <w:rPr>
          <w:rFonts w:ascii="Times New Roman" w:hAnsi="Times New Roman"/>
          <w:b/>
          <w:sz w:val="24"/>
          <w:szCs w:val="24"/>
        </w:rPr>
      </w:pPr>
      <w:r w:rsidRPr="009A3375">
        <w:rPr>
          <w:rFonts w:ascii="Times New Roman" w:hAnsi="Times New Roman"/>
          <w:b/>
          <w:sz w:val="24"/>
          <w:szCs w:val="24"/>
        </w:rPr>
        <w:t>Ankesa të trajtuara</w:t>
      </w:r>
    </w:p>
    <w:p w:rsidR="00F17139" w:rsidRDefault="00F17139" w:rsidP="007E124B">
      <w:pPr>
        <w:pStyle w:val="ListParagraph"/>
        <w:spacing w:after="120"/>
        <w:ind w:left="0"/>
        <w:contextualSpacing w:val="0"/>
        <w:jc w:val="both"/>
      </w:pPr>
    </w:p>
    <w:p w:rsidR="002A3BD9" w:rsidRPr="00F17139" w:rsidRDefault="00B9634F" w:rsidP="007E124B">
      <w:pPr>
        <w:pStyle w:val="ListParagraph"/>
        <w:spacing w:after="120"/>
        <w:ind w:left="0"/>
        <w:contextualSpacing w:val="0"/>
        <w:jc w:val="both"/>
        <w:rPr>
          <w:rFonts w:ascii="Times New Roman" w:hAnsi="Times New Roman"/>
          <w:bCs/>
          <w:sz w:val="24"/>
          <w:szCs w:val="24"/>
        </w:rPr>
      </w:pPr>
      <w:r w:rsidRPr="00F17139">
        <w:rPr>
          <w:rFonts w:ascii="Times New Roman" w:hAnsi="Times New Roman"/>
          <w:sz w:val="24"/>
          <w:szCs w:val="24"/>
        </w:rPr>
        <w:t>Trajtimi në kohë i ankesave</w:t>
      </w:r>
      <w:r w:rsidR="00F17139" w:rsidRPr="00F17139">
        <w:rPr>
          <w:rFonts w:ascii="Times New Roman" w:hAnsi="Times New Roman"/>
          <w:sz w:val="24"/>
          <w:szCs w:val="24"/>
        </w:rPr>
        <w:t xml:space="preserve"> te ardhura </w:t>
      </w:r>
      <w:r w:rsidR="00F17139" w:rsidRPr="00F17139">
        <w:rPr>
          <w:rFonts w:ascii="Times New Roman" w:hAnsi="Times New Roman"/>
          <w:bCs/>
          <w:sz w:val="24"/>
          <w:szCs w:val="24"/>
        </w:rPr>
        <w:t xml:space="preserve">nga subjektet e të dhënave personale, </w:t>
      </w:r>
      <w:r w:rsidR="00F17139" w:rsidRPr="00F17139">
        <w:rPr>
          <w:rFonts w:ascii="Times New Roman" w:hAnsi="Times New Roman"/>
          <w:sz w:val="24"/>
          <w:szCs w:val="24"/>
        </w:rPr>
        <w:t xml:space="preserve">në kuadër të ligjshmërisë së përpunimit të </w:t>
      </w:r>
      <w:proofErr w:type="spellStart"/>
      <w:r w:rsidR="00F17139" w:rsidRPr="00F17139">
        <w:rPr>
          <w:rFonts w:ascii="Times New Roman" w:hAnsi="Times New Roman"/>
          <w:sz w:val="24"/>
          <w:szCs w:val="24"/>
        </w:rPr>
        <w:t>të</w:t>
      </w:r>
      <w:proofErr w:type="spellEnd"/>
      <w:r w:rsidR="00F17139" w:rsidRPr="00F17139">
        <w:rPr>
          <w:rFonts w:ascii="Times New Roman" w:hAnsi="Times New Roman"/>
          <w:sz w:val="24"/>
          <w:szCs w:val="24"/>
        </w:rPr>
        <w:t xml:space="preserve"> dhënave personale.</w:t>
      </w:r>
      <w:r w:rsidR="00F17139" w:rsidRPr="00F17139">
        <w:rPr>
          <w:rFonts w:ascii="Times New Roman" w:hAnsi="Times New Roman"/>
          <w:bCs/>
          <w:sz w:val="24"/>
          <w:szCs w:val="24"/>
        </w:rPr>
        <w:t xml:space="preserve"> Për zgjidhjen dhe trajtimin e ankesave janë ndjekur hapa procedurale si, kontaktimi i vazhdueshëm me subjektin mbi paraqitjen e provave, kërkesë informacioni paraprake nga kontrolluesi, </w:t>
      </w:r>
      <w:r w:rsidR="00F17139" w:rsidRPr="00F17139">
        <w:rPr>
          <w:rFonts w:ascii="Times New Roman" w:hAnsi="Times New Roman"/>
          <w:sz w:val="24"/>
          <w:szCs w:val="24"/>
        </w:rPr>
        <w:t xml:space="preserve">seanca dëgjimore të zhvilluara </w:t>
      </w:r>
      <w:r w:rsidR="00F17139" w:rsidRPr="00F17139">
        <w:rPr>
          <w:rFonts w:ascii="Times New Roman" w:hAnsi="Times New Roman"/>
          <w:bCs/>
          <w:sz w:val="24"/>
          <w:szCs w:val="24"/>
        </w:rPr>
        <w:t xml:space="preserve">deri në zgjidhjen përfundimtare </w:t>
      </w:r>
      <w:r w:rsidR="002A3BD9" w:rsidRPr="00F17139">
        <w:rPr>
          <w:rFonts w:ascii="Times New Roman" w:hAnsi="Times New Roman"/>
          <w:sz w:val="24"/>
          <w:szCs w:val="24"/>
        </w:rPr>
        <w:t xml:space="preserve">dhe vendimet e dhëna, duke rritur në këtë mënyrë kontrollin mbi veprimtarinë e </w:t>
      </w:r>
      <w:r w:rsidR="007E124B">
        <w:rPr>
          <w:rFonts w:ascii="Times New Roman" w:hAnsi="Times New Roman"/>
          <w:sz w:val="24"/>
          <w:szCs w:val="24"/>
        </w:rPr>
        <w:t>kontrolluesve publikë e privatë.</w:t>
      </w:r>
    </w:p>
    <w:p w:rsidR="00F53F4B" w:rsidRPr="009A3375" w:rsidRDefault="00F53F4B" w:rsidP="007E124B">
      <w:pPr>
        <w:spacing w:line="276" w:lineRule="auto"/>
        <w:jc w:val="both"/>
      </w:pPr>
    </w:p>
    <w:p w:rsidR="00B9634F" w:rsidRPr="009A3375" w:rsidRDefault="00B9634F" w:rsidP="007E124B">
      <w:pPr>
        <w:spacing w:line="276" w:lineRule="auto"/>
        <w:jc w:val="both"/>
      </w:pPr>
      <w:r w:rsidRPr="009A3375">
        <w:t xml:space="preserve">Për </w:t>
      </w:r>
      <w:r w:rsidRPr="009A3375">
        <w:rPr>
          <w:rFonts w:eastAsia="Batang"/>
        </w:rPr>
        <w:t>Komisionerin për të Drejtën e Informimit dhe Mbrojtjen e të Dhënave Personale</w:t>
      </w:r>
      <w:r w:rsidRPr="009A3375">
        <w:t xml:space="preserve"> është  miratuar vetëm një program buxhetor. </w:t>
      </w:r>
    </w:p>
    <w:p w:rsidR="00B9634F" w:rsidRPr="009A3375" w:rsidRDefault="00B9634F" w:rsidP="007E124B">
      <w:pPr>
        <w:spacing w:after="160" w:line="276" w:lineRule="auto"/>
        <w:jc w:val="both"/>
      </w:pPr>
    </w:p>
    <w:p w:rsidR="00B9634F" w:rsidRPr="009A3375" w:rsidRDefault="00B9634F" w:rsidP="007E124B">
      <w:pPr>
        <w:spacing w:line="276" w:lineRule="auto"/>
        <w:jc w:val="both"/>
      </w:pPr>
      <w:r w:rsidRPr="009A3375">
        <w:rPr>
          <w:b/>
          <w:u w:val="single"/>
        </w:rPr>
        <w:lastRenderedPageBreak/>
        <w:t>Programi “Planifikim, menaxhim, administrim”,</w:t>
      </w:r>
      <w:r w:rsidRPr="009A3375">
        <w:t xml:space="preserve"> ku përfshihet i gjithë buxheti i akorduar për funksionimin e aktivitetit dhe ushtrimin e kompetencave të kësaj zyre.</w:t>
      </w:r>
    </w:p>
    <w:p w:rsidR="00B9634F" w:rsidRPr="009A3375" w:rsidRDefault="00B9634F" w:rsidP="007E124B">
      <w:pPr>
        <w:spacing w:line="276" w:lineRule="auto"/>
        <w:jc w:val="both"/>
      </w:pPr>
    </w:p>
    <w:p w:rsidR="00B9634F" w:rsidRPr="009A3375" w:rsidRDefault="00B9634F" w:rsidP="007E124B">
      <w:pPr>
        <w:pStyle w:val="Default"/>
        <w:spacing w:after="120" w:line="276" w:lineRule="auto"/>
        <w:ind w:right="-288"/>
        <w:jc w:val="both"/>
        <w:rPr>
          <w:lang w:val="sq-AL"/>
        </w:rPr>
      </w:pPr>
      <w:r w:rsidRPr="009A3375">
        <w:rPr>
          <w:lang w:val="sq-AL"/>
        </w:rPr>
        <w:t xml:space="preserve">Buxheti i akorduar për këtë program, konsiston në mbështetjen logjistike të ushtrimit të kompetencave e funksioneve të zyrës, në drejtim të </w:t>
      </w:r>
      <w:r w:rsidRPr="009A3375">
        <w:rPr>
          <w:rFonts w:eastAsia="Times New Roman"/>
          <w:lang w:val="sq-AL" w:eastAsia="en-US"/>
        </w:rPr>
        <w:t xml:space="preserve">monitorimit të ligjeve respektive, </w:t>
      </w:r>
      <w:r w:rsidRPr="009A3375">
        <w:rPr>
          <w:lang w:val="sq-AL"/>
        </w:rPr>
        <w:t xml:space="preserve">për arritjen e objektivave të përcaktuara për këtë program buxhetor. </w:t>
      </w:r>
    </w:p>
    <w:p w:rsidR="00E0425A" w:rsidRPr="009A3375" w:rsidRDefault="00E0425A" w:rsidP="007E124B">
      <w:pPr>
        <w:spacing w:line="276" w:lineRule="auto"/>
        <w:contextualSpacing/>
        <w:rPr>
          <w:rFonts w:eastAsia="Batang"/>
          <w:bCs/>
          <w:lang w:val="pt-BR"/>
        </w:rPr>
      </w:pPr>
      <w:r w:rsidRPr="009A3375">
        <w:rPr>
          <w:rFonts w:eastAsia="Batang"/>
          <w:bCs/>
          <w:lang w:val="pt-BR"/>
        </w:rPr>
        <w:t xml:space="preserve">Fondet buxhetore të miratuara për vitin 2019 për KDIMDP-në, në vlerën </w:t>
      </w:r>
      <w:r w:rsidRPr="005D6E93">
        <w:rPr>
          <w:rFonts w:eastAsia="Batang"/>
          <w:b/>
          <w:bCs/>
          <w:lang w:val="pt-BR"/>
        </w:rPr>
        <w:t>84.700</w:t>
      </w:r>
      <w:r w:rsidRPr="009A3375">
        <w:rPr>
          <w:rFonts w:eastAsia="Batang"/>
          <w:b/>
          <w:bCs/>
          <w:i/>
          <w:lang w:val="pt-BR"/>
        </w:rPr>
        <w:t xml:space="preserve"> </w:t>
      </w:r>
      <w:r w:rsidR="001F481D">
        <w:rPr>
          <w:rFonts w:eastAsia="Batang"/>
          <w:bCs/>
          <w:lang w:val="pt-BR"/>
        </w:rPr>
        <w:t>(</w:t>
      </w:r>
      <w:r w:rsidRPr="005D6E93">
        <w:rPr>
          <w:rFonts w:eastAsia="Batang"/>
          <w:bCs/>
          <w:lang w:val="pt-BR"/>
        </w:rPr>
        <w:t>në</w:t>
      </w:r>
      <w:r w:rsidRPr="009A3375">
        <w:rPr>
          <w:rFonts w:eastAsia="Batang"/>
          <w:bCs/>
          <w:i/>
          <w:lang w:val="pt-BR"/>
        </w:rPr>
        <w:t xml:space="preserve"> </w:t>
      </w:r>
      <w:r w:rsidR="00E96AA7">
        <w:rPr>
          <w:rFonts w:eastAsia="Batang"/>
          <w:bCs/>
          <w:lang w:val="pt-BR"/>
        </w:rPr>
        <w:t>mijë) lek</w:t>
      </w:r>
      <w:r w:rsidRPr="009A3375">
        <w:rPr>
          <w:rFonts w:eastAsia="Batang"/>
          <w:bCs/>
          <w:lang w:val="pt-BR"/>
        </w:rPr>
        <w:t>, paraqiten sipas strukturës së mëposhtme:</w:t>
      </w:r>
    </w:p>
    <w:p w:rsidR="00E0425A" w:rsidRPr="009A3375" w:rsidRDefault="00E0425A" w:rsidP="007E124B">
      <w:pPr>
        <w:spacing w:line="276" w:lineRule="auto"/>
        <w:rPr>
          <w:lang w:val="it-IT"/>
        </w:rPr>
      </w:pPr>
    </w:p>
    <w:tbl>
      <w:tblPr>
        <w:tblpPr w:leftFromText="180" w:rightFromText="180" w:vertAnchor="text" w:horzAnchor="margin" w:tblpXSpec="center" w:tblpY="-46"/>
        <w:tblW w:w="0" w:type="auto"/>
        <w:tblLayout w:type="fixed"/>
        <w:tblCellMar>
          <w:left w:w="30" w:type="dxa"/>
          <w:right w:w="30" w:type="dxa"/>
        </w:tblCellMar>
        <w:tblLook w:val="0000" w:firstRow="0" w:lastRow="0" w:firstColumn="0" w:lastColumn="0" w:noHBand="0" w:noVBand="0"/>
      </w:tblPr>
      <w:tblGrid>
        <w:gridCol w:w="1448"/>
        <w:gridCol w:w="3827"/>
        <w:gridCol w:w="2148"/>
      </w:tblGrid>
      <w:tr w:rsidR="00E0425A" w:rsidRPr="009A3375" w:rsidTr="00FC3598">
        <w:trPr>
          <w:trHeight w:val="756"/>
        </w:trPr>
        <w:tc>
          <w:tcPr>
            <w:tcW w:w="1448" w:type="dxa"/>
            <w:tcBorders>
              <w:top w:val="single" w:sz="4" w:space="0" w:color="auto"/>
              <w:left w:val="single" w:sz="4" w:space="0" w:color="auto"/>
              <w:bottom w:val="single" w:sz="6" w:space="0" w:color="auto"/>
              <w:right w:val="single" w:sz="6" w:space="0" w:color="auto"/>
            </w:tcBorders>
            <w:shd w:val="solid" w:color="969696" w:fill="auto"/>
          </w:tcPr>
          <w:p w:rsidR="00E0425A" w:rsidRPr="009A3375" w:rsidRDefault="00E0425A" w:rsidP="007E124B">
            <w:pPr>
              <w:autoSpaceDE w:val="0"/>
              <w:autoSpaceDN w:val="0"/>
              <w:adjustRightInd w:val="0"/>
              <w:spacing w:line="276" w:lineRule="auto"/>
              <w:jc w:val="center"/>
              <w:rPr>
                <w:b/>
                <w:bCs/>
                <w:color w:val="000000"/>
              </w:rPr>
            </w:pPr>
          </w:p>
          <w:p w:rsidR="00E0425A" w:rsidRPr="009A3375" w:rsidRDefault="00E0425A" w:rsidP="007E124B">
            <w:pPr>
              <w:autoSpaceDE w:val="0"/>
              <w:autoSpaceDN w:val="0"/>
              <w:adjustRightInd w:val="0"/>
              <w:spacing w:line="276" w:lineRule="auto"/>
              <w:jc w:val="center"/>
              <w:rPr>
                <w:b/>
                <w:bCs/>
                <w:color w:val="000000"/>
              </w:rPr>
            </w:pPr>
            <w:proofErr w:type="spellStart"/>
            <w:r w:rsidRPr="009A3375">
              <w:rPr>
                <w:b/>
                <w:bCs/>
                <w:color w:val="000000"/>
              </w:rPr>
              <w:t>Llog</w:t>
            </w:r>
            <w:proofErr w:type="spellEnd"/>
            <w:r w:rsidRPr="009A3375">
              <w:rPr>
                <w:b/>
                <w:bCs/>
                <w:color w:val="000000"/>
              </w:rPr>
              <w:t>.</w:t>
            </w:r>
          </w:p>
          <w:p w:rsidR="00E0425A" w:rsidRPr="009A3375" w:rsidRDefault="00E0425A" w:rsidP="007E124B">
            <w:pPr>
              <w:autoSpaceDE w:val="0"/>
              <w:autoSpaceDN w:val="0"/>
              <w:adjustRightInd w:val="0"/>
              <w:spacing w:line="276" w:lineRule="auto"/>
              <w:rPr>
                <w:b/>
                <w:bCs/>
                <w:color w:val="000000"/>
              </w:rPr>
            </w:pPr>
            <w:r w:rsidRPr="009A3375">
              <w:rPr>
                <w:b/>
                <w:bCs/>
                <w:color w:val="000000"/>
              </w:rPr>
              <w:t>Ekonomike</w:t>
            </w:r>
          </w:p>
        </w:tc>
        <w:tc>
          <w:tcPr>
            <w:tcW w:w="3827" w:type="dxa"/>
            <w:tcBorders>
              <w:top w:val="single" w:sz="4" w:space="0" w:color="auto"/>
              <w:left w:val="single" w:sz="6" w:space="0" w:color="auto"/>
              <w:bottom w:val="single" w:sz="6" w:space="0" w:color="auto"/>
              <w:right w:val="single" w:sz="6" w:space="0" w:color="auto"/>
            </w:tcBorders>
            <w:shd w:val="solid" w:color="969696" w:fill="auto"/>
            <w:vAlign w:val="center"/>
          </w:tcPr>
          <w:p w:rsidR="00E0425A" w:rsidRPr="009A3375" w:rsidRDefault="00E0425A" w:rsidP="007E124B">
            <w:pPr>
              <w:autoSpaceDE w:val="0"/>
              <w:autoSpaceDN w:val="0"/>
              <w:adjustRightInd w:val="0"/>
              <w:spacing w:line="276" w:lineRule="auto"/>
              <w:jc w:val="center"/>
              <w:rPr>
                <w:b/>
                <w:bCs/>
                <w:color w:val="000000"/>
              </w:rPr>
            </w:pPr>
            <w:r w:rsidRPr="009A3375">
              <w:rPr>
                <w:b/>
                <w:bCs/>
                <w:color w:val="000000"/>
              </w:rPr>
              <w:t>Përshkrimi</w:t>
            </w:r>
          </w:p>
        </w:tc>
        <w:tc>
          <w:tcPr>
            <w:tcW w:w="2148" w:type="dxa"/>
            <w:tcBorders>
              <w:top w:val="single" w:sz="4" w:space="0" w:color="auto"/>
              <w:left w:val="single" w:sz="6" w:space="0" w:color="auto"/>
              <w:bottom w:val="single" w:sz="6" w:space="0" w:color="auto"/>
              <w:right w:val="single" w:sz="6" w:space="0" w:color="auto"/>
            </w:tcBorders>
            <w:shd w:val="solid" w:color="969696" w:fill="auto"/>
          </w:tcPr>
          <w:p w:rsidR="00E0425A" w:rsidRPr="009A3375" w:rsidRDefault="00E0425A" w:rsidP="007E124B">
            <w:pPr>
              <w:autoSpaceDE w:val="0"/>
              <w:autoSpaceDN w:val="0"/>
              <w:adjustRightInd w:val="0"/>
              <w:spacing w:line="276" w:lineRule="auto"/>
              <w:jc w:val="center"/>
              <w:rPr>
                <w:b/>
                <w:bCs/>
                <w:color w:val="000000"/>
              </w:rPr>
            </w:pPr>
            <w:r w:rsidRPr="009A3375">
              <w:rPr>
                <w:b/>
                <w:bCs/>
                <w:color w:val="000000"/>
              </w:rPr>
              <w:t>Plani  fillestar i buxhetit viti 2019</w:t>
            </w:r>
          </w:p>
          <w:p w:rsidR="00E0425A" w:rsidRPr="009A3375" w:rsidRDefault="00E0425A" w:rsidP="005D6E93">
            <w:pPr>
              <w:autoSpaceDE w:val="0"/>
              <w:autoSpaceDN w:val="0"/>
              <w:adjustRightInd w:val="0"/>
              <w:spacing w:line="276" w:lineRule="auto"/>
              <w:jc w:val="center"/>
              <w:rPr>
                <w:b/>
                <w:bCs/>
                <w:color w:val="000000"/>
                <w:lang w:val="it-IT"/>
              </w:rPr>
            </w:pPr>
            <w:r w:rsidRPr="009A3375">
              <w:rPr>
                <w:b/>
                <w:bCs/>
                <w:color w:val="000000"/>
              </w:rPr>
              <w:t>(në mijë lek)</w:t>
            </w:r>
          </w:p>
        </w:tc>
      </w:tr>
      <w:tr w:rsidR="00E0425A" w:rsidRPr="009A3375" w:rsidTr="00FC3598">
        <w:trPr>
          <w:trHeight w:val="262"/>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600</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Cs/>
                <w:color w:val="000000"/>
              </w:rPr>
            </w:pPr>
            <w:r w:rsidRPr="009A3375">
              <w:rPr>
                <w:bCs/>
                <w:color w:val="000000"/>
              </w:rPr>
              <w:t>Fond Page</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44.000.00</w:t>
            </w:r>
          </w:p>
        </w:tc>
      </w:tr>
      <w:tr w:rsidR="00E0425A" w:rsidRPr="009A3375" w:rsidTr="00FC3598">
        <w:trPr>
          <w:trHeight w:val="219"/>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601</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Cs/>
                <w:color w:val="000000"/>
              </w:rPr>
            </w:pPr>
            <w:proofErr w:type="spellStart"/>
            <w:r w:rsidRPr="009A3375">
              <w:rPr>
                <w:bCs/>
                <w:color w:val="000000"/>
              </w:rPr>
              <w:t>Kontrib</w:t>
            </w:r>
            <w:proofErr w:type="spellEnd"/>
            <w:r w:rsidRPr="009A3375">
              <w:rPr>
                <w:bCs/>
                <w:color w:val="000000"/>
              </w:rPr>
              <w:t xml:space="preserve">. </w:t>
            </w:r>
            <w:proofErr w:type="spellStart"/>
            <w:r w:rsidRPr="009A3375">
              <w:rPr>
                <w:bCs/>
                <w:color w:val="000000"/>
              </w:rPr>
              <w:t>Sig</w:t>
            </w:r>
            <w:proofErr w:type="spellEnd"/>
            <w:r w:rsidRPr="009A3375">
              <w:rPr>
                <w:bCs/>
                <w:color w:val="000000"/>
              </w:rPr>
              <w:t xml:space="preserve">. Shoq&amp; </w:t>
            </w:r>
            <w:proofErr w:type="spellStart"/>
            <w:r w:rsidRPr="009A3375">
              <w:rPr>
                <w:bCs/>
                <w:color w:val="000000"/>
              </w:rPr>
              <w:t>Shënd</w:t>
            </w:r>
            <w:proofErr w:type="spellEnd"/>
            <w:r w:rsidRPr="009A3375">
              <w:rPr>
                <w:bCs/>
                <w:color w:val="000000"/>
              </w:rPr>
              <w:t>.</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6,600.00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602</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Cs/>
                <w:color w:val="000000"/>
              </w:rPr>
            </w:pPr>
            <w:r w:rsidRPr="009A3375">
              <w:rPr>
                <w:bCs/>
                <w:color w:val="000000"/>
              </w:rPr>
              <w:t>Mallra dhe shërbime të tjera</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17,760.00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605</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Cs/>
                <w:color w:val="000000"/>
              </w:rPr>
            </w:pPr>
            <w:proofErr w:type="spellStart"/>
            <w:r w:rsidRPr="009A3375">
              <w:rPr>
                <w:bCs/>
                <w:color w:val="000000"/>
              </w:rPr>
              <w:t>Transferta</w:t>
            </w:r>
            <w:proofErr w:type="spellEnd"/>
            <w:r w:rsidRPr="009A3375">
              <w:rPr>
                <w:bCs/>
                <w:color w:val="000000"/>
              </w:rPr>
              <w:t xml:space="preserve"> </w:t>
            </w:r>
            <w:proofErr w:type="spellStart"/>
            <w:r w:rsidR="001F481D">
              <w:rPr>
                <w:bCs/>
                <w:color w:val="000000"/>
              </w:rPr>
              <w:t>k</w:t>
            </w:r>
            <w:r w:rsidR="001F481D" w:rsidRPr="009A3375">
              <w:rPr>
                <w:bCs/>
                <w:color w:val="000000"/>
              </w:rPr>
              <w:t>orrente</w:t>
            </w:r>
            <w:proofErr w:type="spellEnd"/>
            <w:r w:rsidRPr="009A3375">
              <w:rPr>
                <w:bCs/>
                <w:color w:val="000000"/>
              </w:rPr>
              <w:t xml:space="preserve"> jashtë vendit</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rPr>
            </w:pPr>
            <w:r w:rsidRPr="009A3375">
              <w:rPr>
                <w:bCs/>
                <w:color w:val="000000"/>
              </w:rPr>
              <w:t xml:space="preserve">     100.00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606</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Cs/>
                <w:color w:val="000000"/>
              </w:rPr>
            </w:pPr>
            <w:proofErr w:type="spellStart"/>
            <w:r w:rsidRPr="009A3375">
              <w:rPr>
                <w:bCs/>
                <w:color w:val="000000"/>
              </w:rPr>
              <w:t>Transf</w:t>
            </w:r>
            <w:proofErr w:type="spellEnd"/>
            <w:r w:rsidRPr="009A3375">
              <w:rPr>
                <w:bCs/>
                <w:color w:val="000000"/>
              </w:rPr>
              <w:t xml:space="preserve">. për </w:t>
            </w:r>
            <w:proofErr w:type="spellStart"/>
            <w:r w:rsidRPr="009A3375">
              <w:rPr>
                <w:bCs/>
                <w:color w:val="000000"/>
              </w:rPr>
              <w:t>Buxh</w:t>
            </w:r>
            <w:proofErr w:type="spellEnd"/>
            <w:r w:rsidRPr="009A3375">
              <w:rPr>
                <w:bCs/>
                <w:color w:val="000000"/>
              </w:rPr>
              <w:t xml:space="preserve">. </w:t>
            </w:r>
            <w:proofErr w:type="spellStart"/>
            <w:r w:rsidRPr="009A3375">
              <w:rPr>
                <w:bCs/>
                <w:color w:val="000000"/>
              </w:rPr>
              <w:t>Fam</w:t>
            </w:r>
            <w:proofErr w:type="spellEnd"/>
            <w:r w:rsidRPr="009A3375">
              <w:rPr>
                <w:bCs/>
                <w:color w:val="000000"/>
              </w:rPr>
              <w:t>. &amp; Individ</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 xml:space="preserve">    240.00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autoSpaceDE w:val="0"/>
              <w:autoSpaceDN w:val="0"/>
              <w:adjustRightInd w:val="0"/>
              <w:spacing w:line="276" w:lineRule="auto"/>
              <w:jc w:val="center"/>
              <w:rPr>
                <w:b/>
                <w:bCs/>
                <w:color w:val="000000"/>
              </w:rPr>
            </w:pPr>
            <w:r w:rsidRPr="009A3375">
              <w:rPr>
                <w:b/>
                <w:bCs/>
                <w:color w:val="000000"/>
              </w:rPr>
              <w:t>230-231</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
                <w:bCs/>
                <w:color w:val="000000"/>
              </w:rPr>
            </w:pPr>
            <w:r w:rsidRPr="009A3375">
              <w:rPr>
                <w:b/>
                <w:bCs/>
                <w:color w:val="000000"/>
              </w:rPr>
              <w:t>Shpenzime kapitale</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
                <w:bCs/>
                <w:color w:val="000000"/>
              </w:rPr>
            </w:pPr>
            <w:r w:rsidRPr="009A3375">
              <w:rPr>
                <w:b/>
                <w:bCs/>
                <w:color w:val="000000"/>
              </w:rPr>
              <w:t>16,000.00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pStyle w:val="ListParagraph"/>
              <w:numPr>
                <w:ilvl w:val="0"/>
                <w:numId w:val="44"/>
              </w:numPr>
              <w:autoSpaceDE w:val="0"/>
              <w:autoSpaceDN w:val="0"/>
              <w:adjustRightInd w:val="0"/>
              <w:rPr>
                <w:rFonts w:ascii="Times New Roman" w:hAnsi="Times New Roman"/>
                <w:bCs/>
                <w:color w:val="000000"/>
                <w:sz w:val="24"/>
                <w:szCs w:val="24"/>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1F481D" w:rsidP="007E124B">
            <w:pPr>
              <w:autoSpaceDE w:val="0"/>
              <w:autoSpaceDN w:val="0"/>
              <w:adjustRightInd w:val="0"/>
              <w:spacing w:line="276" w:lineRule="auto"/>
              <w:rPr>
                <w:bCs/>
                <w:color w:val="000000"/>
              </w:rPr>
            </w:pPr>
            <w:r w:rsidRPr="009A3375">
              <w:rPr>
                <w:bCs/>
                <w:color w:val="000000"/>
              </w:rPr>
              <w:t>Pajisje</w:t>
            </w:r>
            <w:r w:rsidR="00E0425A" w:rsidRPr="009A3375">
              <w:rPr>
                <w:bCs/>
                <w:color w:val="000000"/>
              </w:rPr>
              <w:t xml:space="preserve"> zyre/ M890001</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 xml:space="preserve">    500.00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pStyle w:val="ListParagraph"/>
              <w:numPr>
                <w:ilvl w:val="0"/>
                <w:numId w:val="44"/>
              </w:numPr>
              <w:autoSpaceDE w:val="0"/>
              <w:autoSpaceDN w:val="0"/>
              <w:adjustRightInd w:val="0"/>
              <w:rPr>
                <w:rFonts w:ascii="Times New Roman" w:hAnsi="Times New Roman"/>
                <w:bCs/>
                <w:color w:val="000000"/>
                <w:sz w:val="24"/>
                <w:szCs w:val="24"/>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1F481D" w:rsidP="007E124B">
            <w:pPr>
              <w:autoSpaceDE w:val="0"/>
              <w:autoSpaceDN w:val="0"/>
              <w:adjustRightInd w:val="0"/>
              <w:spacing w:line="276" w:lineRule="auto"/>
              <w:rPr>
                <w:bCs/>
                <w:color w:val="000000"/>
              </w:rPr>
            </w:pPr>
            <w:r w:rsidRPr="009A3375">
              <w:rPr>
                <w:bCs/>
                <w:color w:val="000000"/>
              </w:rPr>
              <w:t>Pajisje</w:t>
            </w:r>
            <w:r w:rsidR="00E0425A" w:rsidRPr="009A3375">
              <w:rPr>
                <w:bCs/>
                <w:color w:val="000000"/>
              </w:rPr>
              <w:t xml:space="preserve"> elektronike/kompjuterike?M890002</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 xml:space="preserve">    500.00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pStyle w:val="ListParagraph"/>
              <w:numPr>
                <w:ilvl w:val="0"/>
                <w:numId w:val="44"/>
              </w:numPr>
              <w:autoSpaceDE w:val="0"/>
              <w:autoSpaceDN w:val="0"/>
              <w:adjustRightInd w:val="0"/>
              <w:rPr>
                <w:rFonts w:ascii="Times New Roman" w:hAnsi="Times New Roman"/>
                <w:bCs/>
                <w:color w:val="000000"/>
                <w:sz w:val="24"/>
                <w:szCs w:val="24"/>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Cs/>
                <w:color w:val="000000"/>
              </w:rPr>
            </w:pPr>
            <w:r w:rsidRPr="009A3375">
              <w:rPr>
                <w:bCs/>
                <w:color w:val="000000"/>
              </w:rPr>
              <w:t>Rikonstruksion /M890006</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10.000.00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pStyle w:val="ListParagraph"/>
              <w:numPr>
                <w:ilvl w:val="0"/>
                <w:numId w:val="44"/>
              </w:numPr>
              <w:autoSpaceDE w:val="0"/>
              <w:autoSpaceDN w:val="0"/>
              <w:adjustRightInd w:val="0"/>
              <w:rPr>
                <w:rFonts w:ascii="Times New Roman" w:hAnsi="Times New Roman"/>
                <w:bCs/>
                <w:color w:val="000000"/>
                <w:sz w:val="24"/>
                <w:szCs w:val="24"/>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Cs/>
                <w:color w:val="000000"/>
              </w:rPr>
            </w:pPr>
            <w:r w:rsidRPr="009A3375">
              <w:rPr>
                <w:bCs/>
                <w:color w:val="000000"/>
              </w:rPr>
              <w:t>Blerje pajisje zyre/</w:t>
            </w:r>
            <w:r w:rsidR="001F481D" w:rsidRPr="009A3375">
              <w:rPr>
                <w:bCs/>
                <w:color w:val="000000"/>
              </w:rPr>
              <w:t>kompjuterike</w:t>
            </w:r>
            <w:r w:rsidRPr="009A3375">
              <w:rPr>
                <w:bCs/>
                <w:color w:val="000000"/>
              </w:rPr>
              <w:t xml:space="preserve">./elektronike/vegla e pajisje </w:t>
            </w: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r w:rsidRPr="009A3375">
              <w:rPr>
                <w:bCs/>
                <w:color w:val="000000"/>
              </w:rPr>
              <w:t>5.000.00</w:t>
            </w:r>
          </w:p>
        </w:tc>
      </w:tr>
      <w:tr w:rsidR="00E0425A" w:rsidRPr="009A3375" w:rsidTr="00FC3598">
        <w:trPr>
          <w:trHeight w:val="276"/>
        </w:trPr>
        <w:tc>
          <w:tcPr>
            <w:tcW w:w="1448" w:type="dxa"/>
            <w:tcBorders>
              <w:top w:val="single" w:sz="6" w:space="0" w:color="auto"/>
              <w:left w:val="single" w:sz="4" w:space="0" w:color="auto"/>
              <w:bottom w:val="single" w:sz="6" w:space="0" w:color="auto"/>
              <w:right w:val="single" w:sz="6" w:space="0" w:color="auto"/>
            </w:tcBorders>
          </w:tcPr>
          <w:p w:rsidR="00E0425A" w:rsidRPr="009A3375" w:rsidRDefault="00E0425A" w:rsidP="007E124B">
            <w:pPr>
              <w:autoSpaceDE w:val="0"/>
              <w:autoSpaceDN w:val="0"/>
              <w:adjustRightInd w:val="0"/>
              <w:spacing w:line="276" w:lineRule="auto"/>
              <w:rPr>
                <w:bCs/>
                <w:color w:val="000000"/>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rPr>
                <w:bCs/>
                <w:color w:val="000000"/>
              </w:rPr>
            </w:pPr>
          </w:p>
        </w:tc>
        <w:tc>
          <w:tcPr>
            <w:tcW w:w="2148" w:type="dxa"/>
            <w:tcBorders>
              <w:top w:val="single" w:sz="6" w:space="0" w:color="auto"/>
              <w:left w:val="single" w:sz="6" w:space="0" w:color="auto"/>
              <w:bottom w:val="single" w:sz="6" w:space="0" w:color="auto"/>
              <w:right w:val="single" w:sz="6" w:space="0" w:color="auto"/>
            </w:tcBorders>
            <w:shd w:val="solid" w:color="FFFFFF" w:fill="auto"/>
          </w:tcPr>
          <w:p w:rsidR="00E0425A" w:rsidRPr="009A3375" w:rsidRDefault="00E0425A" w:rsidP="007E124B">
            <w:pPr>
              <w:autoSpaceDE w:val="0"/>
              <w:autoSpaceDN w:val="0"/>
              <w:adjustRightInd w:val="0"/>
              <w:spacing w:line="276" w:lineRule="auto"/>
              <w:jc w:val="center"/>
              <w:rPr>
                <w:bCs/>
                <w:color w:val="000000"/>
              </w:rPr>
            </w:pPr>
          </w:p>
        </w:tc>
      </w:tr>
      <w:tr w:rsidR="00E0425A" w:rsidRPr="009A3375" w:rsidTr="00FC3598">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E0425A" w:rsidRPr="009A3375" w:rsidRDefault="00E0425A" w:rsidP="007E124B">
            <w:pPr>
              <w:autoSpaceDE w:val="0"/>
              <w:autoSpaceDN w:val="0"/>
              <w:adjustRightInd w:val="0"/>
              <w:spacing w:line="276" w:lineRule="auto"/>
              <w:jc w:val="right"/>
              <w:rPr>
                <w:color w:val="000000"/>
                <w:highlight w:val="black"/>
              </w:rPr>
            </w:pPr>
          </w:p>
        </w:tc>
        <w:tc>
          <w:tcPr>
            <w:tcW w:w="3827" w:type="dxa"/>
            <w:tcBorders>
              <w:top w:val="single" w:sz="4" w:space="0" w:color="auto"/>
              <w:left w:val="single" w:sz="4" w:space="0" w:color="auto"/>
              <w:bottom w:val="single" w:sz="4" w:space="0" w:color="auto"/>
              <w:right w:val="single" w:sz="4" w:space="0" w:color="auto"/>
            </w:tcBorders>
            <w:shd w:val="solid" w:color="969696" w:fill="auto"/>
            <w:vAlign w:val="center"/>
          </w:tcPr>
          <w:p w:rsidR="00E0425A" w:rsidRPr="009A3375" w:rsidRDefault="00E0425A" w:rsidP="007E124B">
            <w:pPr>
              <w:autoSpaceDE w:val="0"/>
              <w:autoSpaceDN w:val="0"/>
              <w:adjustRightInd w:val="0"/>
              <w:spacing w:line="276" w:lineRule="auto"/>
              <w:jc w:val="center"/>
              <w:rPr>
                <w:b/>
                <w:bCs/>
                <w:color w:val="000000"/>
              </w:rPr>
            </w:pPr>
            <w:r w:rsidRPr="009A3375">
              <w:rPr>
                <w:b/>
                <w:bCs/>
                <w:color w:val="000000"/>
              </w:rPr>
              <w:t>T o t a l i</w:t>
            </w:r>
          </w:p>
        </w:tc>
        <w:tc>
          <w:tcPr>
            <w:tcW w:w="2148" w:type="dxa"/>
            <w:tcBorders>
              <w:top w:val="single" w:sz="4" w:space="0" w:color="auto"/>
              <w:left w:val="single" w:sz="4" w:space="0" w:color="auto"/>
              <w:bottom w:val="single" w:sz="4" w:space="0" w:color="auto"/>
              <w:right w:val="single" w:sz="4" w:space="0" w:color="auto"/>
            </w:tcBorders>
            <w:shd w:val="solid" w:color="969696" w:fill="auto"/>
            <w:vAlign w:val="center"/>
          </w:tcPr>
          <w:p w:rsidR="00E0425A" w:rsidRPr="009A3375" w:rsidRDefault="00E0425A" w:rsidP="007E124B">
            <w:pPr>
              <w:spacing w:line="276" w:lineRule="auto"/>
              <w:rPr>
                <w:b/>
                <w:bCs/>
              </w:rPr>
            </w:pPr>
            <w:r w:rsidRPr="009A3375">
              <w:rPr>
                <w:b/>
                <w:bCs/>
              </w:rPr>
              <w:t xml:space="preserve">        84.700, 00</w:t>
            </w:r>
          </w:p>
        </w:tc>
      </w:tr>
      <w:tr w:rsidR="00E0425A" w:rsidRPr="009A3375" w:rsidTr="00FC3598">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E0425A" w:rsidRPr="009A3375" w:rsidRDefault="00E0425A" w:rsidP="007E124B">
            <w:pPr>
              <w:autoSpaceDE w:val="0"/>
              <w:autoSpaceDN w:val="0"/>
              <w:adjustRightInd w:val="0"/>
              <w:spacing w:line="276" w:lineRule="auto"/>
              <w:jc w:val="right"/>
              <w:rPr>
                <w:color w:val="000000"/>
                <w:highlight w:val="black"/>
              </w:rPr>
            </w:pPr>
          </w:p>
        </w:tc>
        <w:tc>
          <w:tcPr>
            <w:tcW w:w="3827" w:type="dxa"/>
            <w:tcBorders>
              <w:top w:val="single" w:sz="4" w:space="0" w:color="auto"/>
              <w:left w:val="single" w:sz="4" w:space="0" w:color="auto"/>
              <w:bottom w:val="single" w:sz="4" w:space="0" w:color="auto"/>
              <w:right w:val="single" w:sz="4" w:space="0" w:color="auto"/>
            </w:tcBorders>
            <w:shd w:val="solid" w:color="969696" w:fill="auto"/>
            <w:vAlign w:val="center"/>
          </w:tcPr>
          <w:p w:rsidR="00E0425A" w:rsidRPr="009A3375" w:rsidRDefault="00E0425A" w:rsidP="007E124B">
            <w:pPr>
              <w:autoSpaceDE w:val="0"/>
              <w:autoSpaceDN w:val="0"/>
              <w:adjustRightInd w:val="0"/>
              <w:spacing w:line="276" w:lineRule="auto"/>
              <w:jc w:val="center"/>
              <w:rPr>
                <w:b/>
                <w:bCs/>
                <w:color w:val="000000"/>
              </w:rPr>
            </w:pPr>
          </w:p>
        </w:tc>
        <w:tc>
          <w:tcPr>
            <w:tcW w:w="2148" w:type="dxa"/>
            <w:tcBorders>
              <w:top w:val="single" w:sz="4" w:space="0" w:color="auto"/>
              <w:left w:val="single" w:sz="4" w:space="0" w:color="auto"/>
              <w:bottom w:val="single" w:sz="4" w:space="0" w:color="auto"/>
              <w:right w:val="single" w:sz="4" w:space="0" w:color="auto"/>
            </w:tcBorders>
            <w:shd w:val="solid" w:color="969696" w:fill="auto"/>
            <w:vAlign w:val="center"/>
          </w:tcPr>
          <w:p w:rsidR="00E0425A" w:rsidRPr="009A3375" w:rsidRDefault="00E0425A" w:rsidP="007E124B">
            <w:pPr>
              <w:spacing w:line="276" w:lineRule="auto"/>
              <w:rPr>
                <w:b/>
                <w:bCs/>
              </w:rPr>
            </w:pPr>
          </w:p>
        </w:tc>
      </w:tr>
    </w:tbl>
    <w:p w:rsidR="00E0425A" w:rsidRPr="009A3375" w:rsidRDefault="00E0425A" w:rsidP="007E124B">
      <w:pPr>
        <w:spacing w:line="276" w:lineRule="auto"/>
        <w:rPr>
          <w:color w:val="0D0D0D" w:themeColor="text1" w:themeTint="F2"/>
        </w:rPr>
      </w:pPr>
      <w:r w:rsidRPr="009A3375">
        <w:rPr>
          <w:lang w:val="it-IT"/>
        </w:rPr>
        <w:tab/>
      </w:r>
    </w:p>
    <w:p w:rsidR="00F17139" w:rsidRPr="008776B5" w:rsidRDefault="00E0425A" w:rsidP="007E124B">
      <w:pPr>
        <w:pStyle w:val="Title"/>
        <w:spacing w:after="40" w:line="276" w:lineRule="auto"/>
        <w:jc w:val="both"/>
        <w:rPr>
          <w:rFonts w:ascii="Times New Roman"/>
          <w:color w:val="0D0D0D" w:themeColor="text1" w:themeTint="F2"/>
          <w:sz w:val="24"/>
          <w:szCs w:val="24"/>
        </w:rPr>
      </w:pPr>
      <w:r w:rsidRPr="009A3375">
        <w:rPr>
          <w:rFonts w:ascii="Times New Roman"/>
          <w:color w:val="0D0D0D" w:themeColor="text1" w:themeTint="F2"/>
          <w:sz w:val="24"/>
          <w:szCs w:val="24"/>
        </w:rPr>
        <w:t>Zyra e Komisionerit ka ngritur sistemin e menaxhimit financiar dhe kontrollit, i cili është mbështetur në Ligjin nr.10296, datë 8.07.2010 ”Mbi menaxhimin financiar e kontrollin”, i ndryshuar</w:t>
      </w:r>
      <w:r w:rsidR="00E96AA7">
        <w:rPr>
          <w:rFonts w:ascii="Times New Roman"/>
          <w:color w:val="0D0D0D" w:themeColor="text1" w:themeTint="F2"/>
          <w:sz w:val="24"/>
          <w:szCs w:val="24"/>
        </w:rPr>
        <w:t>,</w:t>
      </w:r>
      <w:r w:rsidRPr="009A3375">
        <w:rPr>
          <w:rFonts w:ascii="Times New Roman"/>
          <w:color w:val="0D0D0D" w:themeColor="text1" w:themeTint="F2"/>
          <w:sz w:val="24"/>
          <w:szCs w:val="24"/>
        </w:rPr>
        <w:t xml:space="preserve"> si dhe në parimet e menaxhimit të fondeve publike me efektivitetet, transparencë, ekonomi dhe eficensë.</w:t>
      </w:r>
    </w:p>
    <w:p w:rsidR="00F53F4B" w:rsidRPr="009A3375" w:rsidRDefault="00B9634F" w:rsidP="007E124B">
      <w:pPr>
        <w:spacing w:line="276" w:lineRule="auto"/>
        <w:jc w:val="both"/>
        <w:rPr>
          <w:rFonts w:eastAsia="Batang"/>
          <w:iCs/>
          <w:color w:val="0D0D0D" w:themeColor="text1" w:themeTint="F2"/>
        </w:rPr>
      </w:pPr>
      <w:r w:rsidRPr="009A3375">
        <w:rPr>
          <w:rFonts w:eastAsia="Batang"/>
          <w:iCs/>
          <w:color w:val="0D0D0D" w:themeColor="text1" w:themeTint="F2"/>
        </w:rPr>
        <w:t>Në buxhetin e vitit 201</w:t>
      </w:r>
      <w:r w:rsidR="001133CC" w:rsidRPr="009A3375">
        <w:rPr>
          <w:rFonts w:eastAsia="Batang"/>
          <w:iCs/>
          <w:color w:val="0D0D0D" w:themeColor="text1" w:themeTint="F2"/>
        </w:rPr>
        <w:t>8</w:t>
      </w:r>
      <w:r w:rsidRPr="009A3375">
        <w:rPr>
          <w:rFonts w:eastAsia="Batang"/>
          <w:iCs/>
          <w:color w:val="0D0D0D" w:themeColor="text1" w:themeTint="F2"/>
        </w:rPr>
        <w:t xml:space="preserve">, e cila destinohet për përdorim, është mbartur vlera </w:t>
      </w:r>
      <w:r w:rsidR="00D26648" w:rsidRPr="009A3375">
        <w:rPr>
          <w:rFonts w:eastAsia="Batang"/>
          <w:iCs/>
          <w:color w:val="0D0D0D" w:themeColor="text1" w:themeTint="F2"/>
        </w:rPr>
        <w:t>2.0</w:t>
      </w:r>
      <w:r w:rsidR="00E0425A" w:rsidRPr="009A3375">
        <w:rPr>
          <w:rFonts w:eastAsia="Batang"/>
          <w:iCs/>
          <w:color w:val="0D0D0D" w:themeColor="text1" w:themeTint="F2"/>
        </w:rPr>
        <w:t>7</w:t>
      </w:r>
      <w:r w:rsidR="00D26648" w:rsidRPr="009A3375">
        <w:rPr>
          <w:rFonts w:eastAsia="Batang"/>
          <w:iCs/>
          <w:color w:val="0D0D0D" w:themeColor="text1" w:themeTint="F2"/>
        </w:rPr>
        <w:t>5</w:t>
      </w:r>
      <w:r w:rsidR="006C1A25">
        <w:rPr>
          <w:rFonts w:eastAsia="Batang"/>
          <w:iCs/>
          <w:color w:val="0D0D0D" w:themeColor="text1" w:themeTint="F2"/>
        </w:rPr>
        <w:t xml:space="preserve"> ( në mijë)</w:t>
      </w:r>
      <w:r w:rsidR="00D26648" w:rsidRPr="009A3375">
        <w:rPr>
          <w:rFonts w:eastAsia="Batang"/>
          <w:iCs/>
          <w:color w:val="0D0D0D" w:themeColor="text1" w:themeTint="F2"/>
        </w:rPr>
        <w:t xml:space="preserve"> </w:t>
      </w:r>
      <w:r w:rsidRPr="009A3375">
        <w:rPr>
          <w:rFonts w:eastAsia="Batang"/>
          <w:iCs/>
          <w:color w:val="0D0D0D" w:themeColor="text1" w:themeTint="F2"/>
        </w:rPr>
        <w:t xml:space="preserve">lekë, shumë e </w:t>
      </w:r>
      <w:r w:rsidR="00D26648" w:rsidRPr="009A3375">
        <w:rPr>
          <w:rFonts w:eastAsia="Batang"/>
          <w:iCs/>
          <w:color w:val="0D0D0D" w:themeColor="text1" w:themeTint="F2"/>
        </w:rPr>
        <w:t xml:space="preserve">krijuar nga të </w:t>
      </w:r>
      <w:r w:rsidRPr="009A3375">
        <w:rPr>
          <w:rFonts w:eastAsia="Batang"/>
          <w:iCs/>
          <w:color w:val="0D0D0D" w:themeColor="text1" w:themeTint="F2"/>
        </w:rPr>
        <w:t>ardhura</w:t>
      </w:r>
      <w:r w:rsidR="00D26648" w:rsidRPr="009A3375">
        <w:rPr>
          <w:rFonts w:eastAsia="Batang"/>
          <w:iCs/>
          <w:color w:val="0D0D0D" w:themeColor="text1" w:themeTint="F2"/>
        </w:rPr>
        <w:t xml:space="preserve">t </w:t>
      </w:r>
      <w:r w:rsidRPr="009A3375">
        <w:rPr>
          <w:rFonts w:eastAsia="Batang"/>
          <w:iCs/>
          <w:color w:val="0D0D0D" w:themeColor="text1" w:themeTint="F2"/>
        </w:rPr>
        <w:t xml:space="preserve"> jashtë limitit</w:t>
      </w:r>
      <w:r w:rsidR="00D26648" w:rsidRPr="009A3375">
        <w:rPr>
          <w:rFonts w:eastAsia="Batang"/>
          <w:iCs/>
          <w:color w:val="0D0D0D" w:themeColor="text1" w:themeTint="F2"/>
        </w:rPr>
        <w:t xml:space="preserve"> (spons</w:t>
      </w:r>
      <w:r w:rsidR="007E124B">
        <w:rPr>
          <w:rFonts w:eastAsia="Batang"/>
          <w:iCs/>
          <w:color w:val="0D0D0D" w:themeColor="text1" w:themeTint="F2"/>
        </w:rPr>
        <w:t>p</w:t>
      </w:r>
      <w:r w:rsidR="00D26648" w:rsidRPr="009A3375">
        <w:rPr>
          <w:rFonts w:eastAsia="Batang"/>
          <w:iCs/>
          <w:color w:val="0D0D0D" w:themeColor="text1" w:themeTint="F2"/>
        </w:rPr>
        <w:t xml:space="preserve">orizimet) </w:t>
      </w:r>
      <w:r w:rsidRPr="009A3375">
        <w:rPr>
          <w:rFonts w:eastAsia="Batang"/>
          <w:iCs/>
          <w:color w:val="0D0D0D" w:themeColor="text1" w:themeTint="F2"/>
        </w:rPr>
        <w:t xml:space="preserve"> </w:t>
      </w:r>
      <w:r w:rsidR="001133CC" w:rsidRPr="009A3375">
        <w:rPr>
          <w:rFonts w:eastAsia="Batang"/>
          <w:iCs/>
          <w:color w:val="0D0D0D" w:themeColor="text1" w:themeTint="F2"/>
        </w:rPr>
        <w:t xml:space="preserve">prej vitit </w:t>
      </w:r>
      <w:r w:rsidRPr="009A3375">
        <w:rPr>
          <w:rFonts w:eastAsia="Batang"/>
          <w:iCs/>
          <w:color w:val="0D0D0D" w:themeColor="text1" w:themeTint="F2"/>
        </w:rPr>
        <w:t xml:space="preserve"> 2015, </w:t>
      </w:r>
      <w:r w:rsidR="002B5C23" w:rsidRPr="009A3375">
        <w:rPr>
          <w:rFonts w:eastAsia="Batang"/>
          <w:iCs/>
          <w:color w:val="0D0D0D" w:themeColor="text1" w:themeTint="F2"/>
        </w:rPr>
        <w:t xml:space="preserve"> Kap 6, e detajuar për përdorim sipas artikujve buxhetore </w:t>
      </w:r>
    </w:p>
    <w:p w:rsidR="002B5C23" w:rsidRPr="009A3375" w:rsidRDefault="00B9634F" w:rsidP="007E124B">
      <w:pPr>
        <w:pStyle w:val="ListParagraph"/>
        <w:numPr>
          <w:ilvl w:val="0"/>
          <w:numId w:val="40"/>
        </w:numPr>
        <w:jc w:val="both"/>
        <w:rPr>
          <w:rFonts w:ascii="Times New Roman" w:eastAsia="Batang" w:hAnsi="Times New Roman"/>
          <w:iCs/>
          <w:color w:val="FF0000"/>
          <w:sz w:val="24"/>
          <w:szCs w:val="24"/>
        </w:rPr>
      </w:pPr>
      <w:r w:rsidRPr="009A3375">
        <w:rPr>
          <w:rFonts w:ascii="Times New Roman" w:eastAsia="Batang" w:hAnsi="Times New Roman"/>
          <w:iCs/>
          <w:color w:val="0D0D0D" w:themeColor="text1" w:themeTint="F2"/>
          <w:sz w:val="24"/>
          <w:szCs w:val="24"/>
        </w:rPr>
        <w:t xml:space="preserve"> </w:t>
      </w:r>
      <w:r w:rsidR="00F53F4B" w:rsidRPr="009A3375">
        <w:rPr>
          <w:rFonts w:ascii="Times New Roman" w:eastAsia="Batang" w:hAnsi="Times New Roman"/>
          <w:iCs/>
          <w:color w:val="0D0D0D" w:themeColor="text1" w:themeTint="F2"/>
          <w:sz w:val="24"/>
          <w:szCs w:val="24"/>
        </w:rPr>
        <w:t>S</w:t>
      </w:r>
      <w:r w:rsidRPr="009A3375">
        <w:rPr>
          <w:rFonts w:ascii="Times New Roman" w:eastAsia="Batang" w:hAnsi="Times New Roman"/>
          <w:iCs/>
          <w:color w:val="0D0D0D" w:themeColor="text1" w:themeTint="F2"/>
          <w:sz w:val="24"/>
          <w:szCs w:val="24"/>
        </w:rPr>
        <w:t xml:space="preserve">hpenzime operative në vlerën </w:t>
      </w:r>
      <w:r w:rsidR="00E0425A" w:rsidRPr="009A3375">
        <w:rPr>
          <w:rFonts w:ascii="Times New Roman" w:eastAsia="Batang" w:hAnsi="Times New Roman"/>
          <w:iCs/>
          <w:color w:val="0D0D0D" w:themeColor="text1" w:themeTint="F2"/>
          <w:sz w:val="24"/>
          <w:szCs w:val="24"/>
        </w:rPr>
        <w:t>30.000</w:t>
      </w:r>
      <w:r w:rsidR="00D26648" w:rsidRPr="009A3375">
        <w:rPr>
          <w:rFonts w:ascii="Times New Roman" w:eastAsia="Batang" w:hAnsi="Times New Roman"/>
          <w:iCs/>
          <w:color w:val="0D0D0D" w:themeColor="text1" w:themeTint="F2"/>
          <w:sz w:val="24"/>
          <w:szCs w:val="24"/>
        </w:rPr>
        <w:t xml:space="preserve"> </w:t>
      </w:r>
      <w:r w:rsidR="007E124B">
        <w:rPr>
          <w:rFonts w:ascii="Times New Roman" w:eastAsia="Batang" w:hAnsi="Times New Roman"/>
          <w:iCs/>
          <w:color w:val="0D0D0D" w:themeColor="text1" w:themeTint="F2"/>
          <w:sz w:val="24"/>
          <w:szCs w:val="24"/>
        </w:rPr>
        <w:t>lek;</w:t>
      </w:r>
    </w:p>
    <w:p w:rsidR="00E0425A" w:rsidRPr="006C1A25" w:rsidRDefault="00B9634F" w:rsidP="007E124B">
      <w:pPr>
        <w:pStyle w:val="ListParagraph"/>
        <w:numPr>
          <w:ilvl w:val="0"/>
          <w:numId w:val="40"/>
        </w:numPr>
        <w:jc w:val="both"/>
        <w:rPr>
          <w:rFonts w:ascii="Times New Roman" w:eastAsia="Batang" w:hAnsi="Times New Roman"/>
          <w:iCs/>
          <w:color w:val="FF0000"/>
          <w:sz w:val="24"/>
          <w:szCs w:val="24"/>
        </w:rPr>
      </w:pPr>
      <w:r w:rsidRPr="009A3375">
        <w:rPr>
          <w:rFonts w:ascii="Times New Roman" w:eastAsia="Batang" w:hAnsi="Times New Roman"/>
          <w:iCs/>
          <w:color w:val="0D0D0D" w:themeColor="text1" w:themeTint="F2"/>
          <w:sz w:val="24"/>
          <w:szCs w:val="24"/>
        </w:rPr>
        <w:t xml:space="preserve"> </w:t>
      </w:r>
      <w:r w:rsidR="00F53F4B" w:rsidRPr="009A3375">
        <w:rPr>
          <w:rFonts w:ascii="Times New Roman" w:eastAsia="Batang" w:hAnsi="Times New Roman"/>
          <w:iCs/>
          <w:color w:val="0D0D0D" w:themeColor="text1" w:themeTint="F2"/>
          <w:sz w:val="24"/>
          <w:szCs w:val="24"/>
        </w:rPr>
        <w:t>S</w:t>
      </w:r>
      <w:r w:rsidRPr="009A3375">
        <w:rPr>
          <w:rFonts w:ascii="Times New Roman" w:eastAsia="Batang" w:hAnsi="Times New Roman"/>
          <w:iCs/>
          <w:color w:val="0D0D0D" w:themeColor="text1" w:themeTint="F2"/>
          <w:sz w:val="24"/>
          <w:szCs w:val="24"/>
        </w:rPr>
        <w:t xml:space="preserve">hpenzime kapitale në vlerën </w:t>
      </w:r>
      <w:r w:rsidR="00D26648" w:rsidRPr="009A3375">
        <w:rPr>
          <w:rFonts w:ascii="Times New Roman" w:eastAsia="Batang" w:hAnsi="Times New Roman"/>
          <w:iCs/>
          <w:color w:val="0D0D0D" w:themeColor="text1" w:themeTint="F2"/>
          <w:sz w:val="24"/>
          <w:szCs w:val="24"/>
        </w:rPr>
        <w:t xml:space="preserve">2.045.951 </w:t>
      </w:r>
      <w:r w:rsidR="007E124B">
        <w:rPr>
          <w:rFonts w:ascii="Times New Roman" w:eastAsia="Batang" w:hAnsi="Times New Roman"/>
          <w:iCs/>
          <w:color w:val="0D0D0D" w:themeColor="text1" w:themeTint="F2"/>
          <w:sz w:val="24"/>
          <w:szCs w:val="24"/>
        </w:rPr>
        <w:t xml:space="preserve"> lek.</w:t>
      </w:r>
      <w:r w:rsidR="006C1A25">
        <w:rPr>
          <w:rFonts w:ascii="Times New Roman" w:eastAsia="Batang" w:hAnsi="Times New Roman"/>
          <w:iCs/>
          <w:color w:val="FF0000"/>
          <w:sz w:val="24"/>
          <w:szCs w:val="24"/>
        </w:rPr>
        <w:t xml:space="preserve"> </w:t>
      </w:r>
    </w:p>
    <w:p w:rsidR="00E0425A" w:rsidRPr="008776B5" w:rsidRDefault="00E0425A" w:rsidP="007E124B">
      <w:pPr>
        <w:spacing w:after="40" w:line="276" w:lineRule="auto"/>
        <w:jc w:val="both"/>
        <w:rPr>
          <w:color w:val="0D0D0D" w:themeColor="text1" w:themeTint="F2"/>
        </w:rPr>
      </w:pPr>
      <w:r w:rsidRPr="009A3375">
        <w:rPr>
          <w:color w:val="0D0D0D" w:themeColor="text1" w:themeTint="F2"/>
        </w:rPr>
        <w:t>Në grafikun e mëposhtëm pasqyrohet në %, çdo kategori shpenzimesh, përkundrejt totalit të buxhetit, si dhe realizimi në % dhe vlerë, i secilës kategori shpenzimesh, përkundrejt buxhetit të akorduar.</w:t>
      </w:r>
    </w:p>
    <w:p w:rsidR="00E0425A" w:rsidRPr="009A3375" w:rsidRDefault="00E0425A" w:rsidP="007E124B">
      <w:pPr>
        <w:pStyle w:val="BodyText3"/>
        <w:spacing w:line="276" w:lineRule="auto"/>
        <w:jc w:val="center"/>
        <w:rPr>
          <w:rFonts w:ascii="Times New Roman" w:hAnsi="Times New Roman"/>
          <w:b/>
          <w:color w:val="244061"/>
          <w:sz w:val="24"/>
          <w:szCs w:val="24"/>
        </w:rPr>
      </w:pPr>
      <w:bookmarkStart w:id="0" w:name="_GoBack"/>
      <w:bookmarkEnd w:id="0"/>
      <w:r w:rsidRPr="009A3375">
        <w:rPr>
          <w:rFonts w:ascii="Times New Roman" w:eastAsia="Batang" w:hAnsi="Times New Roman"/>
          <w:sz w:val="24"/>
          <w:szCs w:val="24"/>
          <w:lang w:val="it-IT"/>
        </w:rPr>
        <w:lastRenderedPageBreak/>
        <w:t xml:space="preserve"> </w:t>
      </w:r>
      <w:r w:rsidRPr="009A3375">
        <w:rPr>
          <w:rFonts w:ascii="Times New Roman" w:hAnsi="Times New Roman"/>
          <w:b/>
          <w:color w:val="244061"/>
          <w:sz w:val="24"/>
          <w:szCs w:val="24"/>
        </w:rPr>
        <w:t>TABELA E AKORDIMIT TË BUXHETIT DHE REALIZIMIT</w:t>
      </w:r>
    </w:p>
    <w:p w:rsidR="00E0425A" w:rsidRPr="009A3375" w:rsidRDefault="00E0425A" w:rsidP="007E124B">
      <w:pPr>
        <w:pStyle w:val="BodyText3"/>
        <w:spacing w:line="276" w:lineRule="auto"/>
        <w:ind w:left="1440" w:firstLine="720"/>
        <w:rPr>
          <w:rFonts w:ascii="Times New Roman" w:hAnsi="Times New Roman"/>
          <w:b/>
          <w:color w:val="244061"/>
          <w:sz w:val="24"/>
          <w:szCs w:val="24"/>
        </w:rPr>
      </w:pPr>
      <w:r w:rsidRPr="009A3375">
        <w:rPr>
          <w:rFonts w:ascii="Times New Roman" w:hAnsi="Times New Roman"/>
          <w:b/>
          <w:color w:val="244061"/>
          <w:sz w:val="24"/>
          <w:szCs w:val="24"/>
        </w:rPr>
        <w:t xml:space="preserve">Janar – prill </w:t>
      </w:r>
      <w:r w:rsidRPr="009A3375">
        <w:rPr>
          <w:rFonts w:ascii="Times New Roman" w:hAnsi="Times New Roman"/>
          <w:b/>
          <w:color w:val="244061"/>
          <w:sz w:val="24"/>
          <w:szCs w:val="24"/>
        </w:rPr>
        <w:tab/>
        <w:t>2019</w:t>
      </w:r>
      <w:r w:rsidRPr="009A3375">
        <w:rPr>
          <w:rFonts w:ascii="Times New Roman" w:hAnsi="Times New Roman"/>
          <w:b/>
          <w:color w:val="215868"/>
          <w:sz w:val="24"/>
          <w:szCs w:val="24"/>
        </w:rPr>
        <w:tab/>
      </w:r>
      <w:r w:rsidRPr="009A3375">
        <w:rPr>
          <w:rFonts w:ascii="Times New Roman" w:hAnsi="Times New Roman"/>
          <w:color w:val="215868"/>
          <w:sz w:val="24"/>
          <w:szCs w:val="24"/>
        </w:rPr>
        <w:tab/>
        <w:t xml:space="preserve">  </w:t>
      </w:r>
      <w:r w:rsidRPr="009A3375">
        <w:rPr>
          <w:rFonts w:ascii="Times New Roman" w:hAnsi="Times New Roman"/>
          <w:color w:val="215868"/>
          <w:sz w:val="24"/>
          <w:szCs w:val="24"/>
        </w:rPr>
        <w:tab/>
        <w:t xml:space="preserve">    </w:t>
      </w:r>
      <w:r w:rsidR="005D6E93">
        <w:rPr>
          <w:rFonts w:ascii="Times New Roman" w:hAnsi="Times New Roman"/>
          <w:b/>
          <w:color w:val="244061"/>
          <w:sz w:val="24"/>
          <w:szCs w:val="24"/>
        </w:rPr>
        <w:t>000 / lek</w:t>
      </w:r>
    </w:p>
    <w:tbl>
      <w:tblPr>
        <w:tblW w:w="891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Layout w:type="fixed"/>
        <w:tblLook w:val="0000" w:firstRow="0" w:lastRow="0" w:firstColumn="0" w:lastColumn="0" w:noHBand="0" w:noVBand="0"/>
      </w:tblPr>
      <w:tblGrid>
        <w:gridCol w:w="720"/>
        <w:gridCol w:w="2430"/>
        <w:gridCol w:w="1620"/>
        <w:gridCol w:w="1170"/>
        <w:gridCol w:w="1170"/>
        <w:gridCol w:w="1800"/>
      </w:tblGrid>
      <w:tr w:rsidR="00E0425A" w:rsidRPr="009A3375" w:rsidTr="00FC3598">
        <w:trPr>
          <w:trHeight w:val="1176"/>
          <w:jc w:val="center"/>
        </w:trPr>
        <w:tc>
          <w:tcPr>
            <w:tcW w:w="720" w:type="dxa"/>
            <w:shd w:val="clear" w:color="auto" w:fill="DEEAF6"/>
          </w:tcPr>
          <w:p w:rsidR="00E0425A" w:rsidRPr="009A3375" w:rsidRDefault="00E0425A" w:rsidP="007E124B">
            <w:pPr>
              <w:pStyle w:val="BodyText3"/>
              <w:spacing w:line="276" w:lineRule="auto"/>
              <w:ind w:left="-15" w:firstLine="15"/>
              <w:rPr>
                <w:rFonts w:ascii="Times New Roman" w:hAnsi="Times New Roman"/>
                <w:b/>
                <w:color w:val="000000"/>
                <w:sz w:val="24"/>
                <w:szCs w:val="24"/>
              </w:rPr>
            </w:pPr>
            <w:r w:rsidRPr="009A3375">
              <w:rPr>
                <w:rFonts w:ascii="Times New Roman" w:hAnsi="Times New Roman"/>
                <w:b/>
                <w:color w:val="000000"/>
                <w:sz w:val="24"/>
                <w:szCs w:val="24"/>
              </w:rPr>
              <w:t>Nr.</w:t>
            </w:r>
          </w:p>
        </w:tc>
        <w:tc>
          <w:tcPr>
            <w:tcW w:w="2430" w:type="dxa"/>
            <w:shd w:val="clear" w:color="auto" w:fill="DEEAF6"/>
          </w:tcPr>
          <w:p w:rsidR="00E0425A" w:rsidRPr="009A3375" w:rsidRDefault="00E0425A" w:rsidP="007E124B">
            <w:pPr>
              <w:pStyle w:val="BodyText3"/>
              <w:spacing w:line="276" w:lineRule="auto"/>
              <w:rPr>
                <w:rFonts w:ascii="Times New Roman" w:hAnsi="Times New Roman"/>
                <w:b/>
                <w:color w:val="000000"/>
                <w:sz w:val="24"/>
                <w:szCs w:val="24"/>
              </w:rPr>
            </w:pPr>
            <w:r w:rsidRPr="009A3375">
              <w:rPr>
                <w:rFonts w:ascii="Times New Roman" w:hAnsi="Times New Roman"/>
                <w:b/>
                <w:color w:val="000000"/>
                <w:sz w:val="24"/>
                <w:szCs w:val="24"/>
              </w:rPr>
              <w:t>EMËRTIMI</w:t>
            </w:r>
          </w:p>
        </w:tc>
        <w:tc>
          <w:tcPr>
            <w:tcW w:w="1620" w:type="dxa"/>
            <w:shd w:val="clear" w:color="auto" w:fill="DEEAF6"/>
          </w:tcPr>
          <w:p w:rsidR="00E0425A" w:rsidRPr="009A3375" w:rsidRDefault="00E0425A" w:rsidP="007E124B">
            <w:pPr>
              <w:pStyle w:val="BodyText3"/>
              <w:spacing w:line="276" w:lineRule="auto"/>
              <w:rPr>
                <w:rFonts w:ascii="Times New Roman" w:hAnsi="Times New Roman"/>
                <w:b/>
                <w:color w:val="000000"/>
                <w:sz w:val="24"/>
                <w:szCs w:val="24"/>
              </w:rPr>
            </w:pPr>
            <w:r w:rsidRPr="009A3375">
              <w:rPr>
                <w:rFonts w:ascii="Times New Roman" w:hAnsi="Times New Roman"/>
                <w:b/>
                <w:color w:val="000000"/>
                <w:sz w:val="24"/>
                <w:szCs w:val="24"/>
              </w:rPr>
              <w:t>PLAN VJETOR 2019</w:t>
            </w:r>
          </w:p>
        </w:tc>
        <w:tc>
          <w:tcPr>
            <w:tcW w:w="1170" w:type="dxa"/>
            <w:shd w:val="clear" w:color="auto" w:fill="DEEAF6"/>
          </w:tcPr>
          <w:p w:rsidR="00E0425A" w:rsidRPr="009A3375" w:rsidRDefault="00E0425A" w:rsidP="007E124B">
            <w:pPr>
              <w:pStyle w:val="BodyText3"/>
              <w:spacing w:line="276" w:lineRule="auto"/>
              <w:rPr>
                <w:rFonts w:ascii="Times New Roman" w:hAnsi="Times New Roman"/>
                <w:b/>
                <w:color w:val="000000"/>
                <w:sz w:val="24"/>
                <w:szCs w:val="24"/>
              </w:rPr>
            </w:pPr>
            <w:r w:rsidRPr="009A3375">
              <w:rPr>
                <w:rFonts w:ascii="Times New Roman" w:hAnsi="Times New Roman"/>
                <w:b/>
                <w:color w:val="000000"/>
                <w:sz w:val="24"/>
                <w:szCs w:val="24"/>
              </w:rPr>
              <w:t>%</w:t>
            </w:r>
          </w:p>
          <w:p w:rsidR="00E0425A" w:rsidRPr="009A3375" w:rsidRDefault="00E0425A" w:rsidP="007E124B">
            <w:pPr>
              <w:pStyle w:val="BodyText3"/>
              <w:spacing w:line="276" w:lineRule="auto"/>
              <w:rPr>
                <w:rFonts w:ascii="Times New Roman" w:hAnsi="Times New Roman"/>
                <w:b/>
                <w:color w:val="000000"/>
                <w:sz w:val="24"/>
                <w:szCs w:val="24"/>
              </w:rPr>
            </w:pPr>
            <w:r w:rsidRPr="009A3375">
              <w:rPr>
                <w:rFonts w:ascii="Times New Roman" w:hAnsi="Times New Roman"/>
                <w:b/>
                <w:color w:val="000000"/>
                <w:sz w:val="24"/>
                <w:szCs w:val="24"/>
              </w:rPr>
              <w:t>kundrejt totalit</w:t>
            </w:r>
          </w:p>
        </w:tc>
        <w:tc>
          <w:tcPr>
            <w:tcW w:w="1170" w:type="dxa"/>
            <w:shd w:val="clear" w:color="auto" w:fill="DEEAF6"/>
          </w:tcPr>
          <w:p w:rsidR="00E0425A" w:rsidRPr="009A3375" w:rsidRDefault="00E0425A" w:rsidP="007E124B">
            <w:pPr>
              <w:pStyle w:val="BodyText3"/>
              <w:spacing w:line="276" w:lineRule="auto"/>
              <w:rPr>
                <w:rFonts w:ascii="Times New Roman" w:hAnsi="Times New Roman"/>
                <w:b/>
                <w:color w:val="000000"/>
                <w:sz w:val="24"/>
                <w:szCs w:val="24"/>
              </w:rPr>
            </w:pPr>
            <w:r w:rsidRPr="009A3375">
              <w:rPr>
                <w:rFonts w:ascii="Times New Roman" w:hAnsi="Times New Roman"/>
                <w:b/>
                <w:color w:val="000000"/>
                <w:sz w:val="24"/>
                <w:szCs w:val="24"/>
              </w:rPr>
              <w:t>Fakt  4 mujor</w:t>
            </w:r>
          </w:p>
        </w:tc>
        <w:tc>
          <w:tcPr>
            <w:tcW w:w="1800" w:type="dxa"/>
            <w:shd w:val="clear" w:color="auto" w:fill="DEEAF6"/>
          </w:tcPr>
          <w:p w:rsidR="00E0425A" w:rsidRPr="009A3375" w:rsidRDefault="00E0425A" w:rsidP="007E124B">
            <w:pPr>
              <w:pStyle w:val="BodyText3"/>
              <w:spacing w:line="276" w:lineRule="auto"/>
              <w:rPr>
                <w:rFonts w:ascii="Times New Roman" w:hAnsi="Times New Roman"/>
                <w:b/>
                <w:color w:val="000000"/>
                <w:sz w:val="24"/>
                <w:szCs w:val="24"/>
              </w:rPr>
            </w:pPr>
            <w:r w:rsidRPr="009A3375">
              <w:rPr>
                <w:rFonts w:ascii="Times New Roman" w:hAnsi="Times New Roman"/>
                <w:b/>
                <w:color w:val="000000"/>
                <w:sz w:val="24"/>
                <w:szCs w:val="24"/>
              </w:rPr>
              <w:t>% real</w:t>
            </w:r>
            <w:r w:rsidR="007E124B">
              <w:rPr>
                <w:rFonts w:ascii="Times New Roman" w:hAnsi="Times New Roman"/>
                <w:b/>
                <w:color w:val="000000"/>
                <w:sz w:val="24"/>
                <w:szCs w:val="24"/>
              </w:rPr>
              <w:t>izimi kundrejt planit  vjetor pë</w:t>
            </w:r>
            <w:r w:rsidRPr="009A3375">
              <w:rPr>
                <w:rFonts w:ascii="Times New Roman" w:hAnsi="Times New Roman"/>
                <w:b/>
                <w:color w:val="000000"/>
                <w:sz w:val="24"/>
                <w:szCs w:val="24"/>
              </w:rPr>
              <w:t>r kategori</w:t>
            </w:r>
          </w:p>
        </w:tc>
      </w:tr>
      <w:tr w:rsidR="00E0425A" w:rsidRPr="009A3375" w:rsidTr="00FC3598">
        <w:trPr>
          <w:jc w:val="center"/>
        </w:trPr>
        <w:tc>
          <w:tcPr>
            <w:tcW w:w="72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1</w:t>
            </w:r>
          </w:p>
        </w:tc>
        <w:tc>
          <w:tcPr>
            <w:tcW w:w="243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Paga</w:t>
            </w:r>
          </w:p>
        </w:tc>
        <w:tc>
          <w:tcPr>
            <w:tcW w:w="1620" w:type="dxa"/>
            <w:shd w:val="clear" w:color="auto" w:fill="DEEAF6"/>
          </w:tcPr>
          <w:p w:rsidR="00E0425A" w:rsidRPr="009A3375" w:rsidRDefault="00E0425A" w:rsidP="007E124B">
            <w:pPr>
              <w:spacing w:line="276" w:lineRule="auto"/>
              <w:jc w:val="center"/>
            </w:pPr>
            <w:r w:rsidRPr="009A3375">
              <w:t>44000</w:t>
            </w:r>
          </w:p>
        </w:tc>
        <w:tc>
          <w:tcPr>
            <w:tcW w:w="1170" w:type="dxa"/>
            <w:shd w:val="clear" w:color="auto" w:fill="DEEAF6"/>
          </w:tcPr>
          <w:p w:rsidR="00E0425A" w:rsidRPr="009A3375" w:rsidRDefault="00E0425A" w:rsidP="007E124B">
            <w:pPr>
              <w:spacing w:line="276" w:lineRule="auto"/>
              <w:jc w:val="center"/>
            </w:pPr>
            <w:r w:rsidRPr="009A3375">
              <w:t>52 %</w:t>
            </w:r>
          </w:p>
        </w:tc>
        <w:tc>
          <w:tcPr>
            <w:tcW w:w="1170" w:type="dxa"/>
            <w:shd w:val="clear" w:color="auto" w:fill="DEEAF6"/>
          </w:tcPr>
          <w:p w:rsidR="00E0425A" w:rsidRPr="009A3375" w:rsidRDefault="00E0425A" w:rsidP="007E124B">
            <w:pPr>
              <w:spacing w:line="276" w:lineRule="auto"/>
              <w:jc w:val="center"/>
            </w:pPr>
            <w:r w:rsidRPr="009A3375">
              <w:t>12.868</w:t>
            </w:r>
          </w:p>
        </w:tc>
        <w:tc>
          <w:tcPr>
            <w:tcW w:w="1800" w:type="dxa"/>
            <w:shd w:val="clear" w:color="auto" w:fill="DEEAF6"/>
          </w:tcPr>
          <w:p w:rsidR="00E0425A" w:rsidRPr="009A3375" w:rsidRDefault="00E0425A" w:rsidP="007E124B">
            <w:pPr>
              <w:spacing w:line="276" w:lineRule="auto"/>
              <w:jc w:val="center"/>
            </w:pPr>
            <w:r w:rsidRPr="009A3375">
              <w:t xml:space="preserve">30  % </w:t>
            </w:r>
          </w:p>
        </w:tc>
      </w:tr>
      <w:tr w:rsidR="00E0425A" w:rsidRPr="009A3375" w:rsidTr="00FC3598">
        <w:trPr>
          <w:jc w:val="center"/>
        </w:trPr>
        <w:tc>
          <w:tcPr>
            <w:tcW w:w="72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2</w:t>
            </w:r>
          </w:p>
        </w:tc>
        <w:tc>
          <w:tcPr>
            <w:tcW w:w="243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Sigurime shoqërore</w:t>
            </w:r>
          </w:p>
        </w:tc>
        <w:tc>
          <w:tcPr>
            <w:tcW w:w="1620" w:type="dxa"/>
            <w:shd w:val="clear" w:color="auto" w:fill="DEEAF6"/>
          </w:tcPr>
          <w:p w:rsidR="00E0425A" w:rsidRPr="009A3375" w:rsidRDefault="00E0425A" w:rsidP="007E124B">
            <w:pPr>
              <w:spacing w:line="276" w:lineRule="auto"/>
              <w:jc w:val="center"/>
            </w:pPr>
            <w:r w:rsidRPr="009A3375">
              <w:t>6 600</w:t>
            </w:r>
          </w:p>
        </w:tc>
        <w:tc>
          <w:tcPr>
            <w:tcW w:w="1170" w:type="dxa"/>
            <w:shd w:val="clear" w:color="auto" w:fill="DEEAF6"/>
          </w:tcPr>
          <w:p w:rsidR="00E0425A" w:rsidRPr="009A3375" w:rsidRDefault="00E0425A" w:rsidP="007E124B">
            <w:pPr>
              <w:spacing w:line="276" w:lineRule="auto"/>
              <w:jc w:val="center"/>
            </w:pPr>
            <w:r w:rsidRPr="009A3375">
              <w:t xml:space="preserve">  7.7 %</w:t>
            </w:r>
          </w:p>
        </w:tc>
        <w:tc>
          <w:tcPr>
            <w:tcW w:w="1170" w:type="dxa"/>
            <w:shd w:val="clear" w:color="auto" w:fill="DEEAF6"/>
          </w:tcPr>
          <w:p w:rsidR="00E0425A" w:rsidRPr="009A3375" w:rsidRDefault="00E0425A" w:rsidP="007E124B">
            <w:pPr>
              <w:spacing w:line="276" w:lineRule="auto"/>
              <w:jc w:val="center"/>
            </w:pPr>
            <w:r w:rsidRPr="009A3375">
              <w:t>2.111</w:t>
            </w:r>
          </w:p>
        </w:tc>
        <w:tc>
          <w:tcPr>
            <w:tcW w:w="1800" w:type="dxa"/>
            <w:shd w:val="clear" w:color="auto" w:fill="DEEAF6"/>
          </w:tcPr>
          <w:p w:rsidR="00E0425A" w:rsidRPr="009A3375" w:rsidRDefault="00E0425A" w:rsidP="007E124B">
            <w:pPr>
              <w:spacing w:line="276" w:lineRule="auto"/>
              <w:ind w:left="-135"/>
              <w:jc w:val="center"/>
            </w:pPr>
            <w:r w:rsidRPr="009A3375">
              <w:t xml:space="preserve">  29.6 %</w:t>
            </w:r>
          </w:p>
        </w:tc>
      </w:tr>
      <w:tr w:rsidR="00E0425A" w:rsidRPr="009A3375" w:rsidTr="00FC3598">
        <w:trPr>
          <w:jc w:val="center"/>
        </w:trPr>
        <w:tc>
          <w:tcPr>
            <w:tcW w:w="72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3</w:t>
            </w:r>
          </w:p>
        </w:tc>
        <w:tc>
          <w:tcPr>
            <w:tcW w:w="243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Mallra e shërbime të tjera</w:t>
            </w:r>
          </w:p>
        </w:tc>
        <w:tc>
          <w:tcPr>
            <w:tcW w:w="1620" w:type="dxa"/>
            <w:shd w:val="clear" w:color="auto" w:fill="DEEAF6"/>
          </w:tcPr>
          <w:p w:rsidR="00E0425A" w:rsidRPr="009A3375" w:rsidRDefault="00E0425A" w:rsidP="007E124B">
            <w:pPr>
              <w:spacing w:line="276" w:lineRule="auto"/>
              <w:jc w:val="center"/>
            </w:pPr>
            <w:r w:rsidRPr="009A3375">
              <w:t>17.760</w:t>
            </w:r>
          </w:p>
        </w:tc>
        <w:tc>
          <w:tcPr>
            <w:tcW w:w="1170" w:type="dxa"/>
            <w:shd w:val="clear" w:color="auto" w:fill="DEEAF6"/>
          </w:tcPr>
          <w:p w:rsidR="00E0425A" w:rsidRPr="009A3375" w:rsidRDefault="00E0425A" w:rsidP="007E124B">
            <w:pPr>
              <w:spacing w:line="276" w:lineRule="auto"/>
              <w:jc w:val="center"/>
            </w:pPr>
            <w:r w:rsidRPr="009A3375">
              <w:t xml:space="preserve">   21 %</w:t>
            </w:r>
          </w:p>
        </w:tc>
        <w:tc>
          <w:tcPr>
            <w:tcW w:w="1170" w:type="dxa"/>
            <w:shd w:val="clear" w:color="auto" w:fill="DEEAF6"/>
          </w:tcPr>
          <w:p w:rsidR="00E0425A" w:rsidRPr="009A3375" w:rsidRDefault="00E0425A" w:rsidP="007E124B">
            <w:pPr>
              <w:spacing w:line="276" w:lineRule="auto"/>
              <w:jc w:val="center"/>
            </w:pPr>
            <w:r w:rsidRPr="009A3375">
              <w:t>5.943</w:t>
            </w:r>
          </w:p>
        </w:tc>
        <w:tc>
          <w:tcPr>
            <w:tcW w:w="1800" w:type="dxa"/>
            <w:shd w:val="clear" w:color="auto" w:fill="DEEAF6"/>
          </w:tcPr>
          <w:p w:rsidR="00E0425A" w:rsidRPr="009A3375" w:rsidRDefault="00E0425A" w:rsidP="007E124B">
            <w:pPr>
              <w:spacing w:line="276" w:lineRule="auto"/>
              <w:jc w:val="center"/>
            </w:pPr>
            <w:r w:rsidRPr="009A3375">
              <w:t>11.3 %</w:t>
            </w:r>
          </w:p>
        </w:tc>
      </w:tr>
      <w:tr w:rsidR="00E0425A" w:rsidRPr="009A3375" w:rsidTr="00FC3598">
        <w:trPr>
          <w:jc w:val="center"/>
        </w:trPr>
        <w:tc>
          <w:tcPr>
            <w:tcW w:w="72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4</w:t>
            </w:r>
          </w:p>
        </w:tc>
        <w:tc>
          <w:tcPr>
            <w:tcW w:w="243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Investime</w:t>
            </w:r>
          </w:p>
        </w:tc>
        <w:tc>
          <w:tcPr>
            <w:tcW w:w="1620" w:type="dxa"/>
            <w:shd w:val="clear" w:color="auto" w:fill="DEEAF6"/>
          </w:tcPr>
          <w:p w:rsidR="00E0425A" w:rsidRPr="009A3375" w:rsidRDefault="00E0425A" w:rsidP="007E124B">
            <w:pPr>
              <w:spacing w:line="276" w:lineRule="auto"/>
              <w:jc w:val="center"/>
            </w:pPr>
            <w:r w:rsidRPr="009A3375">
              <w:t>16.000</w:t>
            </w:r>
          </w:p>
        </w:tc>
        <w:tc>
          <w:tcPr>
            <w:tcW w:w="1170" w:type="dxa"/>
            <w:shd w:val="clear" w:color="auto" w:fill="DEEAF6"/>
          </w:tcPr>
          <w:p w:rsidR="00E0425A" w:rsidRPr="009A3375" w:rsidRDefault="00E0425A" w:rsidP="007E124B">
            <w:pPr>
              <w:spacing w:line="276" w:lineRule="auto"/>
              <w:jc w:val="center"/>
            </w:pPr>
            <w:r w:rsidRPr="009A3375">
              <w:t xml:space="preserve">   19 %</w:t>
            </w:r>
          </w:p>
        </w:tc>
        <w:tc>
          <w:tcPr>
            <w:tcW w:w="1170" w:type="dxa"/>
            <w:shd w:val="clear" w:color="auto" w:fill="DEEAF6"/>
          </w:tcPr>
          <w:p w:rsidR="00E0425A" w:rsidRPr="009A3375" w:rsidRDefault="00E0425A" w:rsidP="007E124B">
            <w:pPr>
              <w:spacing w:line="276" w:lineRule="auto"/>
              <w:jc w:val="center"/>
            </w:pPr>
            <w:r w:rsidRPr="009A3375">
              <w:t xml:space="preserve">   0</w:t>
            </w:r>
          </w:p>
        </w:tc>
        <w:tc>
          <w:tcPr>
            <w:tcW w:w="1800" w:type="dxa"/>
            <w:shd w:val="clear" w:color="auto" w:fill="DEEAF6"/>
          </w:tcPr>
          <w:p w:rsidR="00E0425A" w:rsidRPr="009A3375" w:rsidRDefault="00E0425A" w:rsidP="007E124B">
            <w:pPr>
              <w:spacing w:line="276" w:lineRule="auto"/>
              <w:jc w:val="center"/>
            </w:pPr>
            <w:r w:rsidRPr="009A3375">
              <w:t>0 %</w:t>
            </w:r>
          </w:p>
        </w:tc>
      </w:tr>
      <w:tr w:rsidR="00E0425A" w:rsidRPr="009A3375" w:rsidTr="00FC3598">
        <w:trPr>
          <w:jc w:val="center"/>
        </w:trPr>
        <w:tc>
          <w:tcPr>
            <w:tcW w:w="72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5</w:t>
            </w:r>
          </w:p>
        </w:tc>
        <w:tc>
          <w:tcPr>
            <w:tcW w:w="243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 xml:space="preserve">Transferta te buxhetet familjare  </w:t>
            </w:r>
          </w:p>
        </w:tc>
        <w:tc>
          <w:tcPr>
            <w:tcW w:w="1620" w:type="dxa"/>
            <w:shd w:val="clear" w:color="auto" w:fill="DEEAF6"/>
          </w:tcPr>
          <w:p w:rsidR="00E0425A" w:rsidRPr="009A3375" w:rsidRDefault="00E0425A" w:rsidP="007E124B">
            <w:pPr>
              <w:spacing w:line="276" w:lineRule="auto"/>
              <w:jc w:val="center"/>
            </w:pPr>
            <w:r w:rsidRPr="009A3375">
              <w:t>240</w:t>
            </w:r>
          </w:p>
        </w:tc>
        <w:tc>
          <w:tcPr>
            <w:tcW w:w="1170" w:type="dxa"/>
            <w:shd w:val="clear" w:color="auto" w:fill="DEEAF6"/>
          </w:tcPr>
          <w:p w:rsidR="00E0425A" w:rsidRPr="009A3375" w:rsidRDefault="00E0425A" w:rsidP="007E124B">
            <w:pPr>
              <w:spacing w:line="276" w:lineRule="auto"/>
              <w:jc w:val="center"/>
            </w:pPr>
            <w:r w:rsidRPr="009A3375">
              <w:t xml:space="preserve">   0.2 %</w:t>
            </w:r>
          </w:p>
        </w:tc>
        <w:tc>
          <w:tcPr>
            <w:tcW w:w="1170" w:type="dxa"/>
            <w:shd w:val="clear" w:color="auto" w:fill="DEEAF6"/>
          </w:tcPr>
          <w:p w:rsidR="00E0425A" w:rsidRPr="009A3375" w:rsidRDefault="00E0425A" w:rsidP="007E124B">
            <w:pPr>
              <w:spacing w:line="276" w:lineRule="auto"/>
              <w:jc w:val="center"/>
            </w:pPr>
            <w:r w:rsidRPr="009A3375">
              <w:t xml:space="preserve">    110</w:t>
            </w:r>
          </w:p>
        </w:tc>
        <w:tc>
          <w:tcPr>
            <w:tcW w:w="1800" w:type="dxa"/>
            <w:shd w:val="clear" w:color="auto" w:fill="DEEAF6"/>
          </w:tcPr>
          <w:p w:rsidR="00E0425A" w:rsidRPr="009A3375" w:rsidRDefault="00E0425A" w:rsidP="007E124B">
            <w:pPr>
              <w:spacing w:line="276" w:lineRule="auto"/>
              <w:jc w:val="center"/>
            </w:pPr>
            <w:r w:rsidRPr="009A3375">
              <w:t>33.3 %</w:t>
            </w:r>
          </w:p>
        </w:tc>
      </w:tr>
      <w:tr w:rsidR="00E0425A" w:rsidRPr="009A3375" w:rsidTr="00FC3598">
        <w:trPr>
          <w:jc w:val="center"/>
        </w:trPr>
        <w:tc>
          <w:tcPr>
            <w:tcW w:w="720" w:type="dxa"/>
            <w:shd w:val="clear" w:color="auto" w:fill="DEEAF6"/>
          </w:tcPr>
          <w:p w:rsidR="00E0425A" w:rsidRPr="009A3375" w:rsidRDefault="00E0425A" w:rsidP="007E124B">
            <w:pPr>
              <w:pStyle w:val="BodyText3"/>
              <w:spacing w:line="276" w:lineRule="auto"/>
              <w:rPr>
                <w:rFonts w:ascii="Times New Roman" w:hAnsi="Times New Roman"/>
                <w:color w:val="000000"/>
                <w:sz w:val="24"/>
                <w:szCs w:val="24"/>
              </w:rPr>
            </w:pPr>
            <w:r w:rsidRPr="009A3375">
              <w:rPr>
                <w:rFonts w:ascii="Times New Roman" w:hAnsi="Times New Roman"/>
                <w:color w:val="000000"/>
                <w:sz w:val="24"/>
                <w:szCs w:val="24"/>
              </w:rPr>
              <w:t>6</w:t>
            </w:r>
          </w:p>
        </w:tc>
        <w:tc>
          <w:tcPr>
            <w:tcW w:w="2430" w:type="dxa"/>
            <w:shd w:val="clear" w:color="auto" w:fill="DEEAF6"/>
          </w:tcPr>
          <w:p w:rsidR="00E0425A" w:rsidRPr="009A3375" w:rsidRDefault="00E0425A" w:rsidP="007E124B">
            <w:pPr>
              <w:pStyle w:val="BodyText3"/>
              <w:spacing w:line="276" w:lineRule="auto"/>
              <w:rPr>
                <w:rFonts w:ascii="Times New Roman" w:hAnsi="Times New Roman"/>
                <w:b/>
                <w:color w:val="000000"/>
                <w:sz w:val="24"/>
                <w:szCs w:val="24"/>
              </w:rPr>
            </w:pPr>
            <w:r w:rsidRPr="009A3375">
              <w:rPr>
                <w:rFonts w:ascii="Times New Roman" w:hAnsi="Times New Roman"/>
                <w:b/>
                <w:color w:val="000000"/>
                <w:sz w:val="24"/>
                <w:szCs w:val="24"/>
              </w:rPr>
              <w:t xml:space="preserve">Kuotizacion </w:t>
            </w:r>
          </w:p>
        </w:tc>
        <w:tc>
          <w:tcPr>
            <w:tcW w:w="1620" w:type="dxa"/>
            <w:shd w:val="clear" w:color="auto" w:fill="DEEAF6"/>
          </w:tcPr>
          <w:p w:rsidR="00E0425A" w:rsidRPr="009A3375" w:rsidRDefault="00E0425A" w:rsidP="007E124B">
            <w:pPr>
              <w:spacing w:line="276" w:lineRule="auto"/>
              <w:jc w:val="center"/>
            </w:pPr>
            <w:r w:rsidRPr="009A3375">
              <w:t>100</w:t>
            </w:r>
          </w:p>
        </w:tc>
        <w:tc>
          <w:tcPr>
            <w:tcW w:w="1170" w:type="dxa"/>
            <w:shd w:val="clear" w:color="auto" w:fill="DEEAF6"/>
          </w:tcPr>
          <w:p w:rsidR="00E0425A" w:rsidRPr="009A3375" w:rsidRDefault="00E0425A" w:rsidP="007E124B">
            <w:pPr>
              <w:spacing w:line="276" w:lineRule="auto"/>
              <w:jc w:val="center"/>
            </w:pPr>
            <w:r w:rsidRPr="009A3375">
              <w:t xml:space="preserve">    0.1%</w:t>
            </w:r>
          </w:p>
        </w:tc>
        <w:tc>
          <w:tcPr>
            <w:tcW w:w="1170" w:type="dxa"/>
            <w:shd w:val="clear" w:color="auto" w:fill="DEEAF6"/>
          </w:tcPr>
          <w:p w:rsidR="00E0425A" w:rsidRPr="009A3375" w:rsidRDefault="00E0425A" w:rsidP="007E124B">
            <w:pPr>
              <w:spacing w:line="276" w:lineRule="auto"/>
              <w:jc w:val="center"/>
            </w:pPr>
            <w:r w:rsidRPr="009A3375">
              <w:t xml:space="preserve">   0</w:t>
            </w:r>
          </w:p>
        </w:tc>
        <w:tc>
          <w:tcPr>
            <w:tcW w:w="1800" w:type="dxa"/>
            <w:shd w:val="clear" w:color="auto" w:fill="DEEAF6"/>
          </w:tcPr>
          <w:p w:rsidR="00E0425A" w:rsidRPr="009A3375" w:rsidRDefault="00E0425A" w:rsidP="007E124B">
            <w:pPr>
              <w:spacing w:line="276" w:lineRule="auto"/>
              <w:jc w:val="center"/>
            </w:pPr>
            <w:r w:rsidRPr="009A3375">
              <w:t>79 %</w:t>
            </w:r>
          </w:p>
        </w:tc>
      </w:tr>
      <w:tr w:rsidR="00E0425A" w:rsidRPr="009A3375" w:rsidTr="00FC3598">
        <w:trPr>
          <w:jc w:val="center"/>
        </w:trPr>
        <w:tc>
          <w:tcPr>
            <w:tcW w:w="720" w:type="dxa"/>
            <w:shd w:val="clear" w:color="auto" w:fill="DEEAF6"/>
          </w:tcPr>
          <w:p w:rsidR="00E0425A" w:rsidRPr="009A3375" w:rsidRDefault="00E0425A" w:rsidP="007E124B">
            <w:pPr>
              <w:pStyle w:val="BodyText3"/>
              <w:spacing w:line="276" w:lineRule="auto"/>
              <w:rPr>
                <w:rFonts w:ascii="Times New Roman" w:hAnsi="Times New Roman"/>
                <w:b/>
                <w:color w:val="000000"/>
                <w:sz w:val="24"/>
                <w:szCs w:val="24"/>
              </w:rPr>
            </w:pPr>
          </w:p>
        </w:tc>
        <w:tc>
          <w:tcPr>
            <w:tcW w:w="2430" w:type="dxa"/>
            <w:shd w:val="clear" w:color="auto" w:fill="DEEAF6"/>
          </w:tcPr>
          <w:p w:rsidR="00E0425A" w:rsidRPr="009A3375" w:rsidRDefault="00E0425A" w:rsidP="007E124B">
            <w:pPr>
              <w:pStyle w:val="BodyText3"/>
              <w:spacing w:line="276" w:lineRule="auto"/>
              <w:rPr>
                <w:rFonts w:ascii="Times New Roman" w:hAnsi="Times New Roman"/>
                <w:b/>
                <w:color w:val="000000"/>
                <w:sz w:val="24"/>
                <w:szCs w:val="24"/>
              </w:rPr>
            </w:pPr>
            <w:r w:rsidRPr="009A3375">
              <w:rPr>
                <w:rFonts w:ascii="Times New Roman" w:hAnsi="Times New Roman"/>
                <w:b/>
                <w:color w:val="000000"/>
                <w:sz w:val="24"/>
                <w:szCs w:val="24"/>
              </w:rPr>
              <w:t xml:space="preserve">Totali  </w:t>
            </w:r>
          </w:p>
        </w:tc>
        <w:tc>
          <w:tcPr>
            <w:tcW w:w="1620" w:type="dxa"/>
            <w:shd w:val="clear" w:color="auto" w:fill="DEEAF6"/>
          </w:tcPr>
          <w:p w:rsidR="00E0425A" w:rsidRPr="009A3375" w:rsidRDefault="00E0425A" w:rsidP="007E124B">
            <w:pPr>
              <w:pStyle w:val="BodyText3"/>
              <w:spacing w:line="276" w:lineRule="auto"/>
              <w:jc w:val="center"/>
              <w:rPr>
                <w:rFonts w:ascii="Times New Roman" w:hAnsi="Times New Roman"/>
                <w:b/>
                <w:color w:val="000000"/>
                <w:sz w:val="24"/>
                <w:szCs w:val="24"/>
              </w:rPr>
            </w:pPr>
            <w:r w:rsidRPr="009A3375">
              <w:rPr>
                <w:rFonts w:ascii="Times New Roman" w:hAnsi="Times New Roman"/>
                <w:b/>
                <w:color w:val="000000"/>
                <w:sz w:val="24"/>
                <w:szCs w:val="24"/>
              </w:rPr>
              <w:t>84.700</w:t>
            </w:r>
          </w:p>
        </w:tc>
        <w:tc>
          <w:tcPr>
            <w:tcW w:w="1170" w:type="dxa"/>
            <w:shd w:val="clear" w:color="auto" w:fill="DEEAF6"/>
          </w:tcPr>
          <w:p w:rsidR="00E0425A" w:rsidRPr="009A3375" w:rsidRDefault="00E0425A" w:rsidP="007E124B">
            <w:pPr>
              <w:pStyle w:val="BodyText3"/>
              <w:spacing w:line="276" w:lineRule="auto"/>
              <w:jc w:val="center"/>
              <w:rPr>
                <w:rFonts w:ascii="Times New Roman" w:hAnsi="Times New Roman"/>
                <w:b/>
                <w:color w:val="000000"/>
                <w:sz w:val="24"/>
                <w:szCs w:val="24"/>
              </w:rPr>
            </w:pPr>
            <w:r w:rsidRPr="009A3375">
              <w:rPr>
                <w:rFonts w:ascii="Times New Roman" w:hAnsi="Times New Roman"/>
                <w:b/>
                <w:color w:val="000000"/>
                <w:sz w:val="24"/>
                <w:szCs w:val="24"/>
              </w:rPr>
              <w:t>100%</w:t>
            </w:r>
          </w:p>
        </w:tc>
        <w:tc>
          <w:tcPr>
            <w:tcW w:w="1170" w:type="dxa"/>
            <w:shd w:val="clear" w:color="auto" w:fill="DEEAF6"/>
          </w:tcPr>
          <w:p w:rsidR="00E0425A" w:rsidRPr="009A3375" w:rsidRDefault="00E0425A" w:rsidP="007E124B">
            <w:pPr>
              <w:pStyle w:val="BodyText3"/>
              <w:spacing w:line="276" w:lineRule="auto"/>
              <w:jc w:val="center"/>
              <w:rPr>
                <w:rFonts w:ascii="Times New Roman" w:hAnsi="Times New Roman"/>
                <w:b/>
                <w:color w:val="000000"/>
                <w:sz w:val="24"/>
                <w:szCs w:val="24"/>
              </w:rPr>
            </w:pPr>
            <w:r w:rsidRPr="009A3375">
              <w:rPr>
                <w:rFonts w:ascii="Times New Roman" w:hAnsi="Times New Roman"/>
                <w:b/>
                <w:color w:val="000000"/>
                <w:sz w:val="24"/>
                <w:szCs w:val="24"/>
              </w:rPr>
              <w:t>21.032</w:t>
            </w:r>
          </w:p>
        </w:tc>
        <w:tc>
          <w:tcPr>
            <w:tcW w:w="1800" w:type="dxa"/>
            <w:shd w:val="clear" w:color="auto" w:fill="DEEAF6"/>
          </w:tcPr>
          <w:p w:rsidR="00E0425A" w:rsidRPr="009A3375" w:rsidRDefault="001F481D" w:rsidP="007E124B">
            <w:pPr>
              <w:pStyle w:val="BodyText3"/>
              <w:spacing w:line="276" w:lineRule="auto"/>
              <w:jc w:val="center"/>
              <w:rPr>
                <w:rFonts w:ascii="Times New Roman" w:hAnsi="Times New Roman"/>
                <w:b/>
                <w:color w:val="000000"/>
                <w:sz w:val="24"/>
                <w:szCs w:val="24"/>
              </w:rPr>
            </w:pPr>
            <w:r>
              <w:rPr>
                <w:rFonts w:ascii="Times New Roman" w:hAnsi="Times New Roman"/>
                <w:b/>
                <w:color w:val="000000"/>
                <w:sz w:val="24"/>
                <w:szCs w:val="24"/>
              </w:rPr>
              <w:t xml:space="preserve"> 24.8  </w:t>
            </w:r>
            <w:r w:rsidR="00E0425A" w:rsidRPr="009A3375">
              <w:rPr>
                <w:rFonts w:ascii="Times New Roman" w:hAnsi="Times New Roman"/>
                <w:b/>
                <w:color w:val="000000"/>
                <w:sz w:val="24"/>
                <w:szCs w:val="24"/>
              </w:rPr>
              <w:t>%</w:t>
            </w:r>
          </w:p>
        </w:tc>
      </w:tr>
    </w:tbl>
    <w:p w:rsidR="00E0425A" w:rsidRPr="009A3375" w:rsidRDefault="00E0425A" w:rsidP="007E124B">
      <w:pPr>
        <w:spacing w:line="276" w:lineRule="auto"/>
        <w:jc w:val="both"/>
      </w:pPr>
    </w:p>
    <w:p w:rsidR="006C1A25" w:rsidRPr="009A3375" w:rsidRDefault="006C1A25" w:rsidP="007E124B">
      <w:pPr>
        <w:pStyle w:val="ListParagraph"/>
        <w:numPr>
          <w:ilvl w:val="0"/>
          <w:numId w:val="45"/>
        </w:numPr>
        <w:spacing w:after="40"/>
        <w:jc w:val="both"/>
        <w:rPr>
          <w:rFonts w:ascii="Times New Roman" w:hAnsi="Times New Roman"/>
          <w:color w:val="0D0D0D" w:themeColor="text1" w:themeTint="F2"/>
          <w:sz w:val="24"/>
          <w:szCs w:val="24"/>
        </w:rPr>
      </w:pPr>
      <w:r w:rsidRPr="009A3375">
        <w:rPr>
          <w:rFonts w:ascii="Times New Roman" w:hAnsi="Times New Roman"/>
          <w:color w:val="0D0D0D" w:themeColor="text1" w:themeTint="F2"/>
          <w:sz w:val="24"/>
          <w:szCs w:val="24"/>
        </w:rPr>
        <w:t xml:space="preserve">Nga fondi i përgjithshëm buxhetor </w:t>
      </w:r>
      <w:r w:rsidR="007E124B">
        <w:rPr>
          <w:rFonts w:ascii="Times New Roman" w:hAnsi="Times New Roman"/>
          <w:color w:val="0D0D0D" w:themeColor="text1" w:themeTint="F2"/>
          <w:sz w:val="24"/>
          <w:szCs w:val="24"/>
        </w:rPr>
        <w:t>i planifikuar për vitin 2019, për periudhë</w:t>
      </w:r>
      <w:r w:rsidRPr="009A3375">
        <w:rPr>
          <w:rFonts w:ascii="Times New Roman" w:hAnsi="Times New Roman"/>
          <w:color w:val="0D0D0D" w:themeColor="text1" w:themeTint="F2"/>
          <w:sz w:val="24"/>
          <w:szCs w:val="24"/>
        </w:rPr>
        <w:t xml:space="preserve">n e raportuar Zyra e Komisionerit ka shpenzuar </w:t>
      </w:r>
      <w:r w:rsidRPr="009A3375">
        <w:rPr>
          <w:rFonts w:ascii="Times New Roman" w:hAnsi="Times New Roman"/>
          <w:b/>
          <w:i/>
          <w:color w:val="0D0D0D" w:themeColor="text1" w:themeTint="F2"/>
          <w:sz w:val="24"/>
          <w:szCs w:val="24"/>
        </w:rPr>
        <w:t>vlerë</w:t>
      </w:r>
      <w:r w:rsidR="007E124B">
        <w:rPr>
          <w:rFonts w:ascii="Times New Roman" w:hAnsi="Times New Roman"/>
          <w:b/>
          <w:i/>
          <w:color w:val="0D0D0D" w:themeColor="text1" w:themeTint="F2"/>
          <w:sz w:val="24"/>
          <w:szCs w:val="24"/>
        </w:rPr>
        <w:t>n buxhetore 21.032 (në mijë lek</w:t>
      </w:r>
      <w:r w:rsidRPr="009A3375">
        <w:rPr>
          <w:rFonts w:ascii="Times New Roman" w:hAnsi="Times New Roman"/>
          <w:b/>
          <w:i/>
          <w:color w:val="0D0D0D" w:themeColor="text1" w:themeTint="F2"/>
          <w:sz w:val="24"/>
          <w:szCs w:val="24"/>
        </w:rPr>
        <w:t>)</w:t>
      </w:r>
      <w:r w:rsidRPr="009A3375">
        <w:rPr>
          <w:rFonts w:ascii="Times New Roman" w:hAnsi="Times New Roman"/>
          <w:color w:val="0D0D0D" w:themeColor="text1" w:themeTint="F2"/>
          <w:sz w:val="24"/>
          <w:szCs w:val="24"/>
        </w:rPr>
        <w:t>. Është realizuar buxheti në tërësi në masën 25 %, kundrejt planit vjetor ose 83 % kundrejt planit të 4 mujorit të parë të vitit 2019.</w:t>
      </w:r>
    </w:p>
    <w:p w:rsidR="00E0425A" w:rsidRPr="009A3375" w:rsidRDefault="00E0425A" w:rsidP="007E124B">
      <w:pPr>
        <w:spacing w:line="276" w:lineRule="auto"/>
        <w:jc w:val="both"/>
      </w:pPr>
    </w:p>
    <w:p w:rsidR="00E0425A" w:rsidRPr="009A3375" w:rsidRDefault="00E0425A" w:rsidP="007E124B">
      <w:pPr>
        <w:pStyle w:val="ListParagraph"/>
        <w:numPr>
          <w:ilvl w:val="0"/>
          <w:numId w:val="46"/>
        </w:numPr>
        <w:jc w:val="both"/>
        <w:rPr>
          <w:rFonts w:ascii="Times New Roman" w:eastAsia="Batang" w:hAnsi="Times New Roman"/>
          <w:color w:val="0D0D0D" w:themeColor="text1" w:themeTint="F2"/>
          <w:sz w:val="24"/>
          <w:szCs w:val="24"/>
        </w:rPr>
      </w:pPr>
      <w:r w:rsidRPr="009A3375">
        <w:rPr>
          <w:rFonts w:ascii="Times New Roman" w:eastAsia="Batang" w:hAnsi="Times New Roman"/>
          <w:b/>
          <w:color w:val="0D0D0D" w:themeColor="text1" w:themeTint="F2"/>
          <w:sz w:val="24"/>
          <w:szCs w:val="24"/>
          <w:u w:val="single"/>
        </w:rPr>
        <w:t>Fondi i përgjithshëm i pagave si dhe i sigurimeve shoqërore</w:t>
      </w:r>
      <w:r w:rsidRPr="009A3375">
        <w:rPr>
          <w:rFonts w:ascii="Times New Roman" w:eastAsia="Batang" w:hAnsi="Times New Roman"/>
          <w:color w:val="0D0D0D" w:themeColor="text1" w:themeTint="F2"/>
          <w:sz w:val="24"/>
          <w:szCs w:val="24"/>
        </w:rPr>
        <w:t xml:space="preserve">, është realizuar për numrin faktik të punonjësve respektivisht në vlerën </w:t>
      </w:r>
      <w:r w:rsidR="00E96AA7">
        <w:rPr>
          <w:rFonts w:ascii="Times New Roman" w:eastAsia="Batang" w:hAnsi="Times New Roman"/>
          <w:b/>
          <w:color w:val="0D0D0D" w:themeColor="text1" w:themeTint="F2"/>
          <w:sz w:val="24"/>
          <w:szCs w:val="24"/>
        </w:rPr>
        <w:t xml:space="preserve">12.868  (në mijë) lek </w:t>
      </w:r>
      <w:r w:rsidRPr="009A3375">
        <w:rPr>
          <w:rFonts w:ascii="Times New Roman" w:eastAsia="Batang" w:hAnsi="Times New Roman"/>
          <w:color w:val="0D0D0D" w:themeColor="text1" w:themeTint="F2"/>
          <w:sz w:val="24"/>
          <w:szCs w:val="24"/>
        </w:rPr>
        <w:t xml:space="preserve">për paga si dhe </w:t>
      </w:r>
      <w:r w:rsidR="00E96AA7">
        <w:rPr>
          <w:rFonts w:ascii="Times New Roman" w:eastAsia="Batang" w:hAnsi="Times New Roman"/>
          <w:b/>
          <w:color w:val="0D0D0D" w:themeColor="text1" w:themeTint="F2"/>
          <w:sz w:val="24"/>
          <w:szCs w:val="24"/>
        </w:rPr>
        <w:t>2.111  (në mijë) lek</w:t>
      </w:r>
      <w:r w:rsidRPr="009A3375">
        <w:rPr>
          <w:rFonts w:ascii="Times New Roman" w:eastAsia="Batang" w:hAnsi="Times New Roman"/>
          <w:color w:val="0D0D0D" w:themeColor="text1" w:themeTint="F2"/>
          <w:sz w:val="24"/>
          <w:szCs w:val="24"/>
        </w:rPr>
        <w:t xml:space="preserve"> për kontribute në sigurimet shoqërore e shëndetësore, ose rreth 88 </w:t>
      </w:r>
      <w:r w:rsidR="007E124B">
        <w:rPr>
          <w:rFonts w:ascii="Times New Roman" w:eastAsia="Batang" w:hAnsi="Times New Roman"/>
          <w:color w:val="0D0D0D" w:themeColor="text1" w:themeTint="F2"/>
          <w:sz w:val="24"/>
          <w:szCs w:val="24"/>
        </w:rPr>
        <w:t xml:space="preserve">% e fondit të planifikuar për 4 </w:t>
      </w:r>
      <w:r w:rsidRPr="009A3375">
        <w:rPr>
          <w:rFonts w:ascii="Times New Roman" w:eastAsia="Batang" w:hAnsi="Times New Roman"/>
          <w:color w:val="0D0D0D" w:themeColor="text1" w:themeTint="F2"/>
          <w:sz w:val="24"/>
          <w:szCs w:val="24"/>
        </w:rPr>
        <w:t>mujorin e parë ose rreth 30 % të planit vjetor të këtij shpenzimi (600-601)</w:t>
      </w:r>
      <w:r w:rsidR="007E124B">
        <w:rPr>
          <w:rFonts w:ascii="Times New Roman" w:eastAsia="Batang" w:hAnsi="Times New Roman"/>
          <w:color w:val="0D0D0D" w:themeColor="text1" w:themeTint="F2"/>
          <w:sz w:val="24"/>
          <w:szCs w:val="24"/>
        </w:rPr>
        <w:t>.</w:t>
      </w:r>
    </w:p>
    <w:p w:rsidR="008776B5" w:rsidRDefault="008776B5" w:rsidP="007E124B">
      <w:pPr>
        <w:pStyle w:val="ListParagraph"/>
        <w:widowControl w:val="0"/>
        <w:spacing w:after="0"/>
        <w:ind w:left="284"/>
        <w:contextualSpacing w:val="0"/>
        <w:jc w:val="both"/>
        <w:rPr>
          <w:rFonts w:ascii="Times New Roman" w:eastAsia="Batang" w:hAnsi="Times New Roman"/>
          <w:b/>
          <w:sz w:val="24"/>
          <w:szCs w:val="24"/>
          <w:lang w:val="sv-SE"/>
        </w:rPr>
      </w:pPr>
    </w:p>
    <w:p w:rsidR="00A922DB" w:rsidRDefault="00E0425A" w:rsidP="007E124B">
      <w:pPr>
        <w:widowControl w:val="0"/>
        <w:spacing w:line="276" w:lineRule="auto"/>
        <w:jc w:val="both"/>
        <w:rPr>
          <w:rFonts w:eastAsia="Batang"/>
          <w:lang w:val="es-CL"/>
        </w:rPr>
      </w:pPr>
      <w:r w:rsidRPr="00A922DB">
        <w:rPr>
          <w:rFonts w:eastAsia="Batang"/>
          <w:b/>
          <w:lang w:val="sv-SE"/>
        </w:rPr>
        <w:t xml:space="preserve">Mosrealizimet në këtë zë kanë ardhur si pasojë e ndjekjes së procedurave të rekrutimit për vendet vakante, bazuar në planin vjetor 2019 si dhe lëvizjeve të brendshme apo mungesave  të përkohshme të stafit. </w:t>
      </w:r>
      <w:r w:rsidRPr="00A922DB">
        <w:rPr>
          <w:rFonts w:eastAsia="Batang"/>
          <w:lang w:val="es-CL"/>
        </w:rPr>
        <w:t xml:space="preserve"> </w:t>
      </w:r>
    </w:p>
    <w:p w:rsidR="00A922DB" w:rsidRPr="00A922DB" w:rsidRDefault="00A922DB" w:rsidP="007E124B">
      <w:pPr>
        <w:widowControl w:val="0"/>
        <w:spacing w:line="276" w:lineRule="auto"/>
        <w:jc w:val="both"/>
        <w:rPr>
          <w:rFonts w:eastAsia="Batang"/>
          <w:lang w:val="es-CL"/>
        </w:rPr>
      </w:pPr>
    </w:p>
    <w:p w:rsidR="00E0425A" w:rsidRPr="008776B5" w:rsidRDefault="00E0425A" w:rsidP="007E124B">
      <w:pPr>
        <w:pStyle w:val="Title"/>
        <w:spacing w:after="240" w:line="276" w:lineRule="auto"/>
        <w:jc w:val="both"/>
        <w:rPr>
          <w:rFonts w:ascii="Times New Roman"/>
          <w:sz w:val="24"/>
          <w:szCs w:val="24"/>
        </w:rPr>
      </w:pPr>
      <w:r w:rsidRPr="009A3375">
        <w:rPr>
          <w:rFonts w:ascii="Times New Roman"/>
          <w:sz w:val="24"/>
          <w:szCs w:val="24"/>
        </w:rPr>
        <w:t xml:space="preserve">Është punuar për rritjen e kapaciteteve dhe ngritjen profesionale të stafit të Zyrës së Komisionerit. Në zbatim të  Planit Vjetor të Trajnimeve, punonjësit </w:t>
      </w:r>
      <w:r w:rsidR="008776B5">
        <w:rPr>
          <w:rFonts w:ascii="Times New Roman"/>
          <w:sz w:val="24"/>
          <w:szCs w:val="24"/>
        </w:rPr>
        <w:t>janë</w:t>
      </w:r>
      <w:r w:rsidRPr="009A3375">
        <w:rPr>
          <w:rFonts w:ascii="Times New Roman"/>
          <w:sz w:val="24"/>
          <w:szCs w:val="24"/>
        </w:rPr>
        <w:t xml:space="preserve"> përfshi</w:t>
      </w:r>
      <w:r w:rsidR="008776B5">
        <w:rPr>
          <w:rFonts w:ascii="Times New Roman"/>
          <w:sz w:val="24"/>
          <w:szCs w:val="24"/>
        </w:rPr>
        <w:t>r</w:t>
      </w:r>
      <w:r w:rsidRPr="009A3375">
        <w:rPr>
          <w:rFonts w:ascii="Times New Roman"/>
          <w:sz w:val="24"/>
          <w:szCs w:val="24"/>
        </w:rPr>
        <w:t>ë në trajnime, brenda dhe jashtë vendit, të cilat mundës</w:t>
      </w:r>
      <w:r w:rsidR="008776B5">
        <w:rPr>
          <w:rFonts w:ascii="Times New Roman"/>
          <w:sz w:val="24"/>
          <w:szCs w:val="24"/>
        </w:rPr>
        <w:t>ojnë</w:t>
      </w:r>
      <w:r w:rsidRPr="009A3375">
        <w:rPr>
          <w:rFonts w:ascii="Times New Roman"/>
          <w:sz w:val="24"/>
          <w:szCs w:val="24"/>
        </w:rPr>
        <w:t xml:space="preserve"> shkëmbimin e eksperienc</w:t>
      </w:r>
      <w:r w:rsidR="008776B5">
        <w:rPr>
          <w:rFonts w:ascii="Times New Roman"/>
          <w:sz w:val="24"/>
          <w:szCs w:val="24"/>
        </w:rPr>
        <w:t>ave</w:t>
      </w:r>
      <w:r w:rsidRPr="009A3375">
        <w:rPr>
          <w:rFonts w:ascii="Times New Roman"/>
          <w:sz w:val="24"/>
          <w:szCs w:val="24"/>
        </w:rPr>
        <w:t xml:space="preserve"> dhe njohjen me praktikat më të mira. </w:t>
      </w:r>
    </w:p>
    <w:p w:rsidR="00E0425A" w:rsidRPr="008776B5" w:rsidRDefault="00E0425A" w:rsidP="007E124B">
      <w:pPr>
        <w:spacing w:after="40" w:line="276" w:lineRule="auto"/>
        <w:jc w:val="both"/>
        <w:rPr>
          <w:color w:val="0D0D0D" w:themeColor="text1" w:themeTint="F2"/>
        </w:rPr>
      </w:pPr>
      <w:r w:rsidRPr="008776B5">
        <w:rPr>
          <w:color w:val="0D0D0D" w:themeColor="text1" w:themeTint="F2"/>
        </w:rPr>
        <w:t xml:space="preserve">Në zbatim të planit për shpenzime dhe investime, Zyra e Komisionerit ka hartuar e zbatuar planin e prokurimeve, i cili për vitin 2019, përmban 3 procedura prokurimi me tenderim </w:t>
      </w:r>
      <w:r w:rsidR="006B0F35">
        <w:rPr>
          <w:color w:val="0D0D0D" w:themeColor="text1" w:themeTint="F2"/>
        </w:rPr>
        <w:t>(shpenzime kapitale),</w:t>
      </w:r>
      <w:r w:rsidRPr="008776B5">
        <w:rPr>
          <w:color w:val="0D0D0D" w:themeColor="text1" w:themeTint="F2"/>
        </w:rPr>
        <w:t xml:space="preserve"> ndërsa mbulimi i nevojave të tjera është realizuar dhe do të vijojë nëpërmjet prokurimeve me vlera të vogla. </w:t>
      </w:r>
    </w:p>
    <w:p w:rsidR="00E0425A" w:rsidRPr="009A3375" w:rsidRDefault="00E0425A" w:rsidP="007E124B">
      <w:pPr>
        <w:spacing w:line="276" w:lineRule="auto"/>
        <w:jc w:val="both"/>
        <w:rPr>
          <w:rFonts w:eastAsia="Batang"/>
          <w:lang w:val="es-CL"/>
        </w:rPr>
      </w:pPr>
    </w:p>
    <w:p w:rsidR="00E0425A" w:rsidRPr="009A3375" w:rsidRDefault="00E0425A" w:rsidP="007E124B">
      <w:pPr>
        <w:pStyle w:val="ListParagraph"/>
        <w:numPr>
          <w:ilvl w:val="0"/>
          <w:numId w:val="46"/>
        </w:numPr>
        <w:jc w:val="both"/>
        <w:rPr>
          <w:rFonts w:ascii="Times New Roman" w:hAnsi="Times New Roman"/>
          <w:b/>
          <w:bCs/>
          <w:sz w:val="24"/>
          <w:szCs w:val="24"/>
        </w:rPr>
      </w:pPr>
      <w:r w:rsidRPr="009A3375">
        <w:rPr>
          <w:rFonts w:ascii="Times New Roman" w:eastAsia="Batang" w:hAnsi="Times New Roman"/>
          <w:b/>
          <w:sz w:val="24"/>
          <w:szCs w:val="24"/>
          <w:u w:val="single"/>
          <w:lang w:val="sv-SE"/>
        </w:rPr>
        <w:lastRenderedPageBreak/>
        <w:t xml:space="preserve">Fondi për </w:t>
      </w:r>
      <w:r w:rsidRPr="009A3375">
        <w:rPr>
          <w:rFonts w:ascii="Times New Roman" w:hAnsi="Times New Roman"/>
          <w:b/>
          <w:bCs/>
          <w:color w:val="000000"/>
          <w:sz w:val="24"/>
          <w:szCs w:val="24"/>
          <w:u w:val="single"/>
          <w:lang w:val="es-CL"/>
        </w:rPr>
        <w:t>Shpenzime Kor</w:t>
      </w:r>
      <w:r w:rsidR="00A922DB">
        <w:rPr>
          <w:rFonts w:ascii="Times New Roman" w:hAnsi="Times New Roman"/>
          <w:b/>
          <w:bCs/>
          <w:color w:val="000000"/>
          <w:sz w:val="24"/>
          <w:szCs w:val="24"/>
          <w:u w:val="single"/>
          <w:lang w:val="es-CL"/>
        </w:rPr>
        <w:t>r</w:t>
      </w:r>
      <w:r w:rsidRPr="009A3375">
        <w:rPr>
          <w:rFonts w:ascii="Times New Roman" w:hAnsi="Times New Roman"/>
          <w:b/>
          <w:bCs/>
          <w:color w:val="000000"/>
          <w:sz w:val="24"/>
          <w:szCs w:val="24"/>
          <w:u w:val="single"/>
          <w:lang w:val="es-CL"/>
        </w:rPr>
        <w:t>ente të tjera</w:t>
      </w:r>
      <w:r w:rsidRPr="009A3375">
        <w:rPr>
          <w:rFonts w:ascii="Times New Roman" w:eastAsia="Batang" w:hAnsi="Times New Roman"/>
          <w:b/>
          <w:sz w:val="24"/>
          <w:szCs w:val="24"/>
          <w:u w:val="single"/>
          <w:lang w:val="sv-SE"/>
        </w:rPr>
        <w:t xml:space="preserve"> (602-606)</w:t>
      </w:r>
      <w:r w:rsidRPr="009A3375">
        <w:rPr>
          <w:rFonts w:ascii="Times New Roman" w:hAnsi="Times New Roman"/>
          <w:b/>
          <w:bCs/>
          <w:sz w:val="24"/>
          <w:szCs w:val="24"/>
          <w:u w:val="single"/>
          <w:lang w:val="es-CL"/>
        </w:rPr>
        <w:t>,</w:t>
      </w:r>
      <w:r w:rsidRPr="009A3375">
        <w:rPr>
          <w:rFonts w:ascii="Times New Roman" w:hAnsi="Times New Roman"/>
          <w:bCs/>
          <w:sz w:val="24"/>
          <w:szCs w:val="24"/>
          <w:lang w:val="es-CL"/>
        </w:rPr>
        <w:t xml:space="preserve"> për </w:t>
      </w:r>
      <w:r w:rsidRPr="009A3375">
        <w:rPr>
          <w:rFonts w:ascii="Times New Roman" w:eastAsia="Batang" w:hAnsi="Times New Roman"/>
          <w:sz w:val="24"/>
          <w:szCs w:val="24"/>
          <w:lang w:val="sv-SE"/>
        </w:rPr>
        <w:t xml:space="preserve">periudhen Janar- prill , është realizuar </w:t>
      </w:r>
      <w:r w:rsidRPr="009A3375">
        <w:rPr>
          <w:rFonts w:ascii="Times New Roman" w:hAnsi="Times New Roman"/>
          <w:bCs/>
          <w:color w:val="000000"/>
          <w:sz w:val="24"/>
          <w:szCs w:val="24"/>
          <w:lang w:val="es-CL"/>
        </w:rPr>
        <w:t xml:space="preserve">në vlerën </w:t>
      </w:r>
      <w:r w:rsidRPr="009A3375">
        <w:rPr>
          <w:rFonts w:ascii="Times New Roman" w:hAnsi="Times New Roman"/>
          <w:b/>
          <w:bCs/>
          <w:color w:val="000000"/>
          <w:sz w:val="24"/>
          <w:szCs w:val="24"/>
          <w:u w:val="single"/>
          <w:lang w:val="es-CL"/>
        </w:rPr>
        <w:t xml:space="preserve">6.053  </w:t>
      </w:r>
      <w:r w:rsidRPr="009A3375">
        <w:rPr>
          <w:rFonts w:ascii="Times New Roman" w:hAnsi="Times New Roman"/>
          <w:b/>
          <w:bCs/>
          <w:color w:val="000000"/>
          <w:sz w:val="24"/>
          <w:szCs w:val="24"/>
          <w:lang w:val="es-CL"/>
        </w:rPr>
        <w:t>mijë</w:t>
      </w:r>
      <w:r w:rsidR="00A922DB">
        <w:rPr>
          <w:rFonts w:ascii="Times New Roman" w:eastAsia="Batang" w:hAnsi="Times New Roman"/>
          <w:b/>
          <w:sz w:val="24"/>
          <w:szCs w:val="24"/>
          <w:lang w:val="sv-SE"/>
        </w:rPr>
        <w:t xml:space="preserve"> lek</w:t>
      </w:r>
      <w:r w:rsidRPr="009A3375">
        <w:rPr>
          <w:rFonts w:ascii="Times New Roman" w:eastAsia="Batang" w:hAnsi="Times New Roman"/>
          <w:sz w:val="24"/>
          <w:szCs w:val="24"/>
          <w:lang w:val="sv-SE"/>
        </w:rPr>
        <w:t xml:space="preserve">,  </w:t>
      </w:r>
      <w:r w:rsidRPr="009A3375">
        <w:rPr>
          <w:rFonts w:ascii="Times New Roman" w:eastAsia="Batang" w:hAnsi="Times New Roman"/>
          <w:color w:val="0D0D0D" w:themeColor="text1" w:themeTint="F2"/>
          <w:sz w:val="24"/>
          <w:szCs w:val="24"/>
        </w:rPr>
        <w:t>ose rreth 93 % e fondit të planifikuar për 4-mujorin e parë</w:t>
      </w:r>
      <w:r w:rsidRPr="009A3375">
        <w:rPr>
          <w:rFonts w:ascii="Times New Roman" w:eastAsia="Batang" w:hAnsi="Times New Roman"/>
          <w:sz w:val="24"/>
          <w:szCs w:val="24"/>
          <w:lang w:val="sv-SE"/>
        </w:rPr>
        <w:t xml:space="preserve"> ose rreth </w:t>
      </w:r>
      <w:r w:rsidRPr="009A3375">
        <w:rPr>
          <w:rFonts w:ascii="Times New Roman" w:eastAsia="Batang" w:hAnsi="Times New Roman"/>
          <w:b/>
          <w:sz w:val="24"/>
          <w:szCs w:val="24"/>
          <w:u w:val="single"/>
          <w:lang w:val="sv-SE"/>
        </w:rPr>
        <w:t>33.4 %</w:t>
      </w:r>
      <w:r w:rsidRPr="009A3375">
        <w:rPr>
          <w:rFonts w:ascii="Times New Roman" w:eastAsia="Batang" w:hAnsi="Times New Roman"/>
          <w:sz w:val="24"/>
          <w:szCs w:val="24"/>
          <w:lang w:val="sv-SE"/>
        </w:rPr>
        <w:t xml:space="preserve"> të </w:t>
      </w:r>
      <w:r w:rsidRPr="009A3375">
        <w:rPr>
          <w:rFonts w:ascii="Times New Roman" w:eastAsia="Batang" w:hAnsi="Times New Roman"/>
          <w:color w:val="0D0D0D" w:themeColor="text1" w:themeTint="F2"/>
          <w:sz w:val="24"/>
          <w:szCs w:val="24"/>
        </w:rPr>
        <w:t xml:space="preserve">planit vjetor të këtij shpenzimi ( 602-606) </w:t>
      </w:r>
      <w:r w:rsidR="008776B5">
        <w:rPr>
          <w:rFonts w:ascii="Times New Roman" w:eastAsia="Batang" w:hAnsi="Times New Roman"/>
          <w:color w:val="0D0D0D" w:themeColor="text1" w:themeTint="F2"/>
          <w:sz w:val="24"/>
          <w:szCs w:val="24"/>
        </w:rPr>
        <w:t xml:space="preserve"> </w:t>
      </w:r>
      <w:r w:rsidRPr="009A3375">
        <w:rPr>
          <w:rFonts w:ascii="Times New Roman" w:hAnsi="Times New Roman"/>
          <w:sz w:val="24"/>
          <w:szCs w:val="24"/>
          <w:lang w:val="it-IT"/>
        </w:rPr>
        <w:t>Ky fond është realizuar për:</w:t>
      </w:r>
    </w:p>
    <w:p w:rsidR="00E0425A" w:rsidRPr="009A3375" w:rsidRDefault="00E0425A" w:rsidP="007E124B">
      <w:pPr>
        <w:pStyle w:val="ListParagraph"/>
        <w:widowControl w:val="0"/>
        <w:spacing w:after="0"/>
        <w:ind w:left="426"/>
        <w:contextualSpacing w:val="0"/>
        <w:jc w:val="both"/>
        <w:rPr>
          <w:rFonts w:ascii="Times New Roman" w:hAnsi="Times New Roman"/>
          <w:b/>
          <w:bCs/>
          <w:sz w:val="24"/>
          <w:szCs w:val="24"/>
        </w:rPr>
      </w:pPr>
    </w:p>
    <w:p w:rsidR="00E0425A" w:rsidRPr="009A3375" w:rsidRDefault="00E0425A" w:rsidP="007E124B">
      <w:pPr>
        <w:numPr>
          <w:ilvl w:val="1"/>
          <w:numId w:val="24"/>
        </w:numPr>
        <w:spacing w:line="276" w:lineRule="auto"/>
        <w:jc w:val="both"/>
        <w:rPr>
          <w:lang w:val="it-IT"/>
        </w:rPr>
      </w:pPr>
      <w:r w:rsidRPr="009A3375">
        <w:rPr>
          <w:lang w:val="it-IT"/>
        </w:rPr>
        <w:t xml:space="preserve">Shlyerjen e detyrimeve </w:t>
      </w:r>
      <w:r w:rsidRPr="009A3375">
        <w:rPr>
          <w:rFonts w:eastAsia="Batang"/>
          <w:lang w:val="it-IT"/>
        </w:rPr>
        <w:t>ndaj shtetit, si detyrime energji elektrike, ujë, shërbim</w:t>
      </w:r>
      <w:r w:rsidR="006B0F35">
        <w:rPr>
          <w:rFonts w:eastAsia="Batang"/>
          <w:lang w:val="it-IT"/>
        </w:rPr>
        <w:t>e bankare, postare e telefonike;</w:t>
      </w:r>
    </w:p>
    <w:p w:rsidR="00E0425A" w:rsidRPr="009A3375" w:rsidRDefault="00E0425A" w:rsidP="007E124B">
      <w:pPr>
        <w:numPr>
          <w:ilvl w:val="1"/>
          <w:numId w:val="24"/>
        </w:numPr>
        <w:spacing w:line="276" w:lineRule="auto"/>
        <w:jc w:val="both"/>
      </w:pPr>
      <w:r w:rsidRPr="009A3375">
        <w:rPr>
          <w:rFonts w:eastAsia="Batang"/>
        </w:rPr>
        <w:t xml:space="preserve">Shpenzime në funksion të realizimit të qëllimit </w:t>
      </w:r>
      <w:r w:rsidRPr="009A3375">
        <w:t>të Kom</w:t>
      </w:r>
      <w:r w:rsidR="006B0F35">
        <w:t>isionerit, sigurimit të standard</w:t>
      </w:r>
      <w:r w:rsidRPr="009A3375">
        <w:t xml:space="preserve">eve të njëjta në zbatimin e </w:t>
      </w:r>
      <w:r w:rsidR="006B0F35" w:rsidRPr="009A3375">
        <w:t>ligjeve</w:t>
      </w:r>
      <w:r w:rsidRPr="009A3375">
        <w:t xml:space="preserve"> baze</w:t>
      </w:r>
      <w:r w:rsidRPr="009A3375">
        <w:rPr>
          <w:i/>
        </w:rPr>
        <w:t>,</w:t>
      </w:r>
      <w:r w:rsidRPr="009A3375">
        <w:t xml:space="preserve"> nëpërmjet mbikëqyrjes së zbat</w:t>
      </w:r>
      <w:r w:rsidR="006B0F35">
        <w:t xml:space="preserve">imit te tyre ne institucionet e </w:t>
      </w:r>
      <w:r w:rsidR="006B0F35" w:rsidRPr="009A3375">
        <w:t>administratës</w:t>
      </w:r>
      <w:r w:rsidRPr="009A3375">
        <w:t xml:space="preserve"> publike si dhe kontrolluesit publike e private</w:t>
      </w:r>
      <w:r w:rsidR="006B0F35">
        <w:t>;</w:t>
      </w:r>
      <w:r w:rsidRPr="009A3375">
        <w:t xml:space="preserve"> </w:t>
      </w:r>
    </w:p>
    <w:p w:rsidR="00E0425A" w:rsidRPr="009A3375" w:rsidRDefault="00A922DB" w:rsidP="007E124B">
      <w:pPr>
        <w:numPr>
          <w:ilvl w:val="1"/>
          <w:numId w:val="24"/>
        </w:numPr>
        <w:spacing w:line="276" w:lineRule="auto"/>
        <w:jc w:val="both"/>
      </w:pPr>
      <w:r>
        <w:t xml:space="preserve">Shpenzime për përfaqësimin dhe pjesëmarrjen e </w:t>
      </w:r>
      <w:r w:rsidR="00E0425A" w:rsidRPr="009A3375">
        <w:t>Komisionerit në aktivitete dhe takime pune të ndry</w:t>
      </w:r>
      <w:r w:rsidR="006B0F35">
        <w:t>shme brenda e jashtë Shqipërisë;</w:t>
      </w:r>
    </w:p>
    <w:p w:rsidR="00E0425A" w:rsidRPr="009A3375" w:rsidRDefault="00E0425A" w:rsidP="007E124B">
      <w:pPr>
        <w:numPr>
          <w:ilvl w:val="1"/>
          <w:numId w:val="24"/>
        </w:numPr>
        <w:spacing w:line="276" w:lineRule="auto"/>
        <w:jc w:val="both"/>
      </w:pPr>
      <w:r w:rsidRPr="009A3375">
        <w:t>Shpenzime të tjera mirëmbajtje/furnizime etj</w:t>
      </w:r>
      <w:r w:rsidR="006B0F35">
        <w:t>.</w:t>
      </w:r>
      <w:r w:rsidRPr="009A3375">
        <w:t xml:space="preserve">  </w:t>
      </w:r>
    </w:p>
    <w:p w:rsidR="00E0425A" w:rsidRPr="009A3375" w:rsidRDefault="00E0425A" w:rsidP="007E124B">
      <w:pPr>
        <w:spacing w:line="276" w:lineRule="auto"/>
        <w:jc w:val="both"/>
      </w:pPr>
    </w:p>
    <w:p w:rsidR="00E0425A" w:rsidRDefault="00E0425A" w:rsidP="007E124B">
      <w:pPr>
        <w:pStyle w:val="ListParagraph"/>
        <w:numPr>
          <w:ilvl w:val="0"/>
          <w:numId w:val="46"/>
        </w:numPr>
        <w:jc w:val="both"/>
        <w:rPr>
          <w:rFonts w:ascii="Times New Roman" w:eastAsia="Batang" w:hAnsi="Times New Roman"/>
          <w:sz w:val="24"/>
          <w:szCs w:val="24"/>
        </w:rPr>
      </w:pPr>
      <w:r w:rsidRPr="001F481D">
        <w:rPr>
          <w:rFonts w:ascii="Times New Roman" w:eastAsia="Batang" w:hAnsi="Times New Roman"/>
          <w:b/>
          <w:bCs/>
          <w:sz w:val="24"/>
          <w:szCs w:val="24"/>
          <w:u w:val="single"/>
        </w:rPr>
        <w:t>Fondi për shpenzime investime</w:t>
      </w:r>
      <w:r w:rsidRPr="009A3375">
        <w:rPr>
          <w:rFonts w:ascii="Times New Roman" w:eastAsia="Batang" w:hAnsi="Times New Roman"/>
          <w:b/>
          <w:bCs/>
          <w:i/>
          <w:sz w:val="24"/>
          <w:szCs w:val="24"/>
        </w:rPr>
        <w:t xml:space="preserve"> </w:t>
      </w:r>
      <w:r w:rsidRPr="001F481D">
        <w:rPr>
          <w:rFonts w:ascii="Times New Roman" w:eastAsia="Batang" w:hAnsi="Times New Roman"/>
          <w:b/>
          <w:sz w:val="24"/>
          <w:szCs w:val="24"/>
        </w:rPr>
        <w:t>(zëri 231),</w:t>
      </w:r>
      <w:r w:rsidRPr="009A3375">
        <w:rPr>
          <w:rFonts w:ascii="Times New Roman" w:eastAsia="Batang" w:hAnsi="Times New Roman"/>
          <w:b/>
          <w:sz w:val="24"/>
          <w:szCs w:val="24"/>
        </w:rPr>
        <w:t xml:space="preserve"> </w:t>
      </w:r>
      <w:r w:rsidRPr="009A3375">
        <w:rPr>
          <w:rFonts w:ascii="Times New Roman" w:eastAsia="Batang" w:hAnsi="Times New Roman"/>
          <w:sz w:val="24"/>
          <w:szCs w:val="24"/>
        </w:rPr>
        <w:t>ku vlera e planit vjetor të fondit të investime</w:t>
      </w:r>
      <w:r w:rsidR="006B0F35">
        <w:rPr>
          <w:rFonts w:ascii="Times New Roman" w:eastAsia="Batang" w:hAnsi="Times New Roman"/>
          <w:sz w:val="24"/>
          <w:szCs w:val="24"/>
        </w:rPr>
        <w:t>ve është 16.000 (në mijë) lek</w:t>
      </w:r>
      <w:r w:rsidRPr="009A3375">
        <w:rPr>
          <w:rFonts w:ascii="Times New Roman" w:eastAsia="Batang" w:hAnsi="Times New Roman"/>
          <w:sz w:val="24"/>
          <w:szCs w:val="24"/>
        </w:rPr>
        <w:t>,  e detajuar në 4 projekte si më poshtë :</w:t>
      </w:r>
    </w:p>
    <w:p w:rsidR="003F3456" w:rsidRPr="003F3456" w:rsidRDefault="003F3456" w:rsidP="007E124B">
      <w:pPr>
        <w:spacing w:line="276" w:lineRule="auto"/>
        <w:jc w:val="both"/>
        <w:rPr>
          <w:rFonts w:eastAsia="Batang"/>
        </w:rPr>
      </w:pPr>
      <w:r w:rsidRPr="003F3456">
        <w:rPr>
          <w:rFonts w:eastAsia="Batang"/>
          <w:b/>
        </w:rPr>
        <w:t xml:space="preserve">Në Aneksin nr. </w:t>
      </w:r>
      <w:r>
        <w:rPr>
          <w:rFonts w:eastAsia="Batang"/>
          <w:b/>
        </w:rPr>
        <w:t>5</w:t>
      </w:r>
      <w:r w:rsidRPr="003F3456">
        <w:rPr>
          <w:rFonts w:eastAsia="Batang"/>
          <w:b/>
        </w:rPr>
        <w:t xml:space="preserve"> </w:t>
      </w:r>
      <w:r w:rsidRPr="003F3456">
        <w:rPr>
          <w:rFonts w:eastAsia="Batang"/>
        </w:rPr>
        <w:t xml:space="preserve">është paraqitur </w:t>
      </w:r>
      <w:r>
        <w:rPr>
          <w:rFonts w:eastAsia="Batang"/>
        </w:rPr>
        <w:t xml:space="preserve">ecuria e investimeve </w:t>
      </w:r>
      <w:r w:rsidRPr="003F3456">
        <w:rPr>
          <w:rFonts w:eastAsia="Batang"/>
        </w:rPr>
        <w:t xml:space="preserve"> për periudhën 4 mujore 2019</w:t>
      </w:r>
      <w:r w:rsidR="00E042DA">
        <w:rPr>
          <w:rFonts w:eastAsia="Batang"/>
        </w:rPr>
        <w:t xml:space="preserve"> si më poshtë</w:t>
      </w:r>
      <w:r w:rsidR="001F481D">
        <w:rPr>
          <w:rFonts w:eastAsia="Batang"/>
        </w:rPr>
        <w:t>:</w:t>
      </w:r>
      <w:r w:rsidR="00E042DA">
        <w:rPr>
          <w:rFonts w:eastAsia="Batang"/>
        </w:rPr>
        <w:t xml:space="preserve"> </w:t>
      </w:r>
    </w:p>
    <w:p w:rsidR="008776B5" w:rsidRPr="003F3456" w:rsidRDefault="008776B5" w:rsidP="007E124B">
      <w:pPr>
        <w:spacing w:line="276" w:lineRule="auto"/>
        <w:jc w:val="both"/>
        <w:rPr>
          <w:rFonts w:eastAsia="Batang"/>
        </w:rPr>
      </w:pPr>
    </w:p>
    <w:p w:rsidR="008776B5" w:rsidRPr="00A922DB" w:rsidRDefault="008776B5" w:rsidP="007E124B">
      <w:pPr>
        <w:spacing w:line="276" w:lineRule="auto"/>
        <w:jc w:val="both"/>
      </w:pPr>
      <w:r w:rsidRPr="008776B5">
        <w:rPr>
          <w:rFonts w:eastAsia="Batang"/>
          <w:b/>
        </w:rPr>
        <w:t xml:space="preserve">1- </w:t>
      </w:r>
      <w:r w:rsidRPr="00E22F13">
        <w:t xml:space="preserve">Projekti M890001- </w:t>
      </w:r>
      <w:proofErr w:type="spellStart"/>
      <w:r w:rsidRPr="00E22F13">
        <w:t>llog</w:t>
      </w:r>
      <w:proofErr w:type="spellEnd"/>
      <w:r w:rsidR="006B0F35">
        <w:t xml:space="preserve">. </w:t>
      </w:r>
      <w:r w:rsidRPr="00E22F13">
        <w:t>2</w:t>
      </w:r>
      <w:r w:rsidR="006B0F35">
        <w:t>31, në vlerën 500 (në mijë) lek</w:t>
      </w:r>
      <w:r w:rsidRPr="00E22F13">
        <w:t>, me emërtimin</w:t>
      </w:r>
      <w:r w:rsidR="00A922DB">
        <w:rPr>
          <w:b/>
        </w:rPr>
        <w:t xml:space="preserve"> “Blerje pajisje kompjuterike”</w:t>
      </w:r>
      <w:r w:rsidR="001F481D">
        <w:t>;</w:t>
      </w:r>
    </w:p>
    <w:p w:rsidR="008776B5" w:rsidRPr="00E22F13" w:rsidRDefault="008776B5" w:rsidP="007E124B">
      <w:pPr>
        <w:spacing w:line="276" w:lineRule="auto"/>
        <w:jc w:val="both"/>
      </w:pPr>
      <w:r w:rsidRPr="008776B5">
        <w:rPr>
          <w:b/>
        </w:rPr>
        <w:t>2-</w:t>
      </w:r>
      <w:r w:rsidRPr="00E22F13">
        <w:t xml:space="preserve"> Projekti M890002- </w:t>
      </w:r>
      <w:proofErr w:type="spellStart"/>
      <w:r w:rsidRPr="00E22F13">
        <w:t>llog</w:t>
      </w:r>
      <w:proofErr w:type="spellEnd"/>
      <w:r w:rsidR="006B0F35">
        <w:t xml:space="preserve">. </w:t>
      </w:r>
      <w:r w:rsidRPr="00E22F13">
        <w:t>231, në vlerën 500  (në mijë) lek, me emërtimin</w:t>
      </w:r>
      <w:r w:rsidRPr="008776B5">
        <w:rPr>
          <w:b/>
        </w:rPr>
        <w:t xml:space="preserve"> “Blerje pajisje të tjera zyre”</w:t>
      </w:r>
      <w:r w:rsidRPr="00E22F13">
        <w:t>, në vlerën e të cilit janë përfshirë blerja</w:t>
      </w:r>
      <w:r w:rsidR="00A922DB">
        <w:t xml:space="preserve"> </w:t>
      </w:r>
      <w:r w:rsidR="001F481D">
        <w:t>e pajisjeve kryesisht mobilieri;</w:t>
      </w:r>
    </w:p>
    <w:p w:rsidR="008776B5" w:rsidRPr="008776B5" w:rsidRDefault="008776B5" w:rsidP="007E124B">
      <w:pPr>
        <w:spacing w:line="276" w:lineRule="auto"/>
        <w:jc w:val="both"/>
        <w:rPr>
          <w:b/>
        </w:rPr>
      </w:pPr>
      <w:r w:rsidRPr="008776B5">
        <w:rPr>
          <w:b/>
        </w:rPr>
        <w:t>3-</w:t>
      </w:r>
      <w:r w:rsidRPr="008776B5">
        <w:rPr>
          <w:rFonts w:eastAsia="Batang"/>
          <w:b/>
        </w:rPr>
        <w:t xml:space="preserve"> </w:t>
      </w:r>
      <w:r w:rsidRPr="00E22F13">
        <w:t xml:space="preserve">Projekti M890006- </w:t>
      </w:r>
      <w:proofErr w:type="spellStart"/>
      <w:r w:rsidRPr="00E22F13">
        <w:t>llog</w:t>
      </w:r>
      <w:proofErr w:type="spellEnd"/>
      <w:r w:rsidR="006B0F35">
        <w:t>.</w:t>
      </w:r>
      <w:r w:rsidRPr="00E22F13">
        <w:t xml:space="preserve"> 231, në vlerën 10.000 (në mijë) lek, me emërtimin e projektit </w:t>
      </w:r>
      <w:r w:rsidRPr="008776B5">
        <w:rPr>
          <w:b/>
        </w:rPr>
        <w:t xml:space="preserve">“Rikonstruksion” dhe produkt : Projekt, zbatim, </w:t>
      </w:r>
      <w:r w:rsidR="006B0F35" w:rsidRPr="008776B5">
        <w:rPr>
          <w:b/>
        </w:rPr>
        <w:t>mbikëqyrje</w:t>
      </w:r>
      <w:r w:rsidR="001F481D">
        <w:rPr>
          <w:b/>
        </w:rPr>
        <w:t>, kolaudim</w:t>
      </w:r>
      <w:r w:rsidR="001F481D" w:rsidRPr="001F481D">
        <w:t>;</w:t>
      </w:r>
    </w:p>
    <w:p w:rsidR="008776B5" w:rsidRPr="00E22F13" w:rsidRDefault="008776B5" w:rsidP="007E124B">
      <w:pPr>
        <w:spacing w:line="276" w:lineRule="auto"/>
        <w:jc w:val="both"/>
      </w:pPr>
      <w:r w:rsidRPr="008776B5">
        <w:rPr>
          <w:b/>
        </w:rPr>
        <w:t xml:space="preserve">4-  </w:t>
      </w:r>
      <w:r w:rsidRPr="00E22F13">
        <w:t xml:space="preserve">Projekti 18 AC202 </w:t>
      </w:r>
      <w:r w:rsidR="006B0F35">
        <w:t>–</w:t>
      </w:r>
      <w:r w:rsidRPr="00E22F13">
        <w:t xml:space="preserve"> </w:t>
      </w:r>
      <w:proofErr w:type="spellStart"/>
      <w:r w:rsidRPr="00E22F13">
        <w:t>llog</w:t>
      </w:r>
      <w:proofErr w:type="spellEnd"/>
      <w:r w:rsidR="006B0F35">
        <w:t>.</w:t>
      </w:r>
      <w:r w:rsidRPr="00E22F13">
        <w:t xml:space="preserve"> 231</w:t>
      </w:r>
      <w:r w:rsidR="006B0F35">
        <w:t>, në vlerën 5.000 (në mijë) lek</w:t>
      </w:r>
      <w:r w:rsidRPr="00E22F13">
        <w:t xml:space="preserve">, me emërtimin “ </w:t>
      </w:r>
      <w:r w:rsidRPr="008776B5">
        <w:rPr>
          <w:b/>
        </w:rPr>
        <w:t>Blerje pajisje zyre/kompjuterike/elektronike/vegla e pajisje”</w:t>
      </w:r>
      <w:r w:rsidRPr="00E22F13">
        <w:t>, në vlerën e të cilit janë përfshirë blerja e pajisjeve të ndryshme për sallën e rikonstruktuar dhe jo vetëm</w:t>
      </w:r>
      <w:r w:rsidR="00A922DB">
        <w:t>.</w:t>
      </w:r>
      <w:r w:rsidRPr="00E22F13">
        <w:t xml:space="preserve">  </w:t>
      </w:r>
    </w:p>
    <w:p w:rsidR="00E0425A" w:rsidRPr="009A3375" w:rsidRDefault="00E0425A" w:rsidP="007E124B">
      <w:pPr>
        <w:spacing w:line="276" w:lineRule="auto"/>
        <w:jc w:val="both"/>
        <w:rPr>
          <w:color w:val="0D0D0D" w:themeColor="text1" w:themeTint="F2"/>
        </w:rPr>
      </w:pPr>
    </w:p>
    <w:p w:rsidR="00E0425A" w:rsidRPr="009A3375" w:rsidRDefault="00E0425A" w:rsidP="007E124B">
      <w:pPr>
        <w:spacing w:line="276" w:lineRule="auto"/>
        <w:jc w:val="both"/>
      </w:pPr>
      <w:r w:rsidRPr="009A3375">
        <w:rPr>
          <w:color w:val="0D0D0D" w:themeColor="text1" w:themeTint="F2"/>
        </w:rPr>
        <w:t xml:space="preserve">Në zbatim të </w:t>
      </w:r>
      <w:r w:rsidRPr="009A3375">
        <w:rPr>
          <w:rFonts w:eastAsia="Calibri"/>
        </w:rPr>
        <w:t xml:space="preserve">VKM-së Nr.293, datë 05.04.2017, “Për një shtesë në VKM Nr.484, datë 10.06.2015 “Për kalimin në përgjegjësi administrimi nga Ministria e Punëve të Brendshme dhe Drejtoria e Doganave,  te Komisioneri për të Drejtën e Informimit dhe Mbrojtjen e të Dhënave Personale, Komisioneri për </w:t>
      </w:r>
      <w:r w:rsidR="006B0F35" w:rsidRPr="009A3375">
        <w:rPr>
          <w:rFonts w:eastAsia="Calibri"/>
        </w:rPr>
        <w:t>Mbikëqyrjen</w:t>
      </w:r>
      <w:r w:rsidRPr="009A3375">
        <w:rPr>
          <w:rFonts w:eastAsia="Calibri"/>
        </w:rPr>
        <w:t xml:space="preserve">  e Shërbimit</w:t>
      </w:r>
      <w:r w:rsidR="00A922DB">
        <w:rPr>
          <w:rFonts w:eastAsia="Calibri"/>
        </w:rPr>
        <w:t xml:space="preserve"> Civil dhe Avokatura e Shtetit, </w:t>
      </w:r>
      <w:r w:rsidR="00A922DB">
        <w:rPr>
          <w:color w:val="0D0D0D" w:themeColor="text1" w:themeTint="F2"/>
        </w:rPr>
        <w:t xml:space="preserve">fondi i alokuar parashikon </w:t>
      </w:r>
      <w:r w:rsidRPr="009A3375">
        <w:rPr>
          <w:color w:val="0D0D0D" w:themeColor="text1" w:themeTint="F2"/>
        </w:rPr>
        <w:t>të përfshijë procedurën e projektit</w:t>
      </w:r>
      <w:r w:rsidR="006B0F35">
        <w:rPr>
          <w:color w:val="0D0D0D" w:themeColor="text1" w:themeTint="F2"/>
        </w:rPr>
        <w:t xml:space="preserve"> </w:t>
      </w:r>
      <w:r w:rsidRPr="009A3375">
        <w:rPr>
          <w:color w:val="0D0D0D" w:themeColor="text1" w:themeTint="F2"/>
        </w:rPr>
        <w:t>&amp;</w:t>
      </w:r>
      <w:r w:rsidR="006B0F35">
        <w:rPr>
          <w:color w:val="0D0D0D" w:themeColor="text1" w:themeTint="F2"/>
        </w:rPr>
        <w:t xml:space="preserve"> </w:t>
      </w:r>
      <w:r w:rsidRPr="009A3375">
        <w:rPr>
          <w:color w:val="0D0D0D" w:themeColor="text1" w:themeTint="F2"/>
        </w:rPr>
        <w:t xml:space="preserve">preventive zbatimit, zbatimit të punimeve të ndërtimit, mbikëqyrjes dhe kolaudimit, për rikonstruksionin e </w:t>
      </w:r>
      <w:r w:rsidR="006B0F35">
        <w:t>ambientin</w:t>
      </w:r>
      <w:r w:rsidRPr="009A3375">
        <w:t xml:space="preserve"> e katit të  parë,  të  godinës 5-katëshe (ish Hotel Drini), </w:t>
      </w:r>
      <w:r w:rsidRPr="009A3375">
        <w:rPr>
          <w:color w:val="0D0D0D" w:themeColor="text1" w:themeTint="F2"/>
        </w:rPr>
        <w:t xml:space="preserve">e cila </w:t>
      </w:r>
      <w:r w:rsidRPr="009A3375">
        <w:rPr>
          <w:rFonts w:eastAsia="Calibri"/>
        </w:rPr>
        <w:t xml:space="preserve">do të ketë funksionin e </w:t>
      </w:r>
      <w:r w:rsidRPr="009A3375">
        <w:t xml:space="preserve">përdorimit  si qendër/sallë multifunksionale. </w:t>
      </w:r>
    </w:p>
    <w:p w:rsidR="00E0425A" w:rsidRPr="009A3375" w:rsidRDefault="00E0425A" w:rsidP="007E124B">
      <w:pPr>
        <w:pStyle w:val="NoSpacing"/>
        <w:spacing w:line="276" w:lineRule="auto"/>
        <w:jc w:val="both"/>
        <w:rPr>
          <w:rFonts w:ascii="Times New Roman" w:hAnsi="Times New Roman"/>
          <w:sz w:val="24"/>
          <w:szCs w:val="24"/>
        </w:rPr>
      </w:pPr>
      <w:r w:rsidRPr="009A3375">
        <w:rPr>
          <w:rFonts w:ascii="Times New Roman" w:hAnsi="Times New Roman"/>
          <w:sz w:val="24"/>
          <w:szCs w:val="24"/>
        </w:rPr>
        <w:t xml:space="preserve">Bazuar në Akt-Marrëveshjen e përbashkët midis dy institucioneve (KDIMDP dhe ASH), datë 08.03.2019, Zyra e Komisionerit është caktuar si investitori kryesor për ndjekjen e procedurave të prokurimit, lidhjen e kontratave me firma fituese si dhe ndjekjen e zbatimit të punimeve deri në përfundimin dhe marrjen në dorëzim të ambjentit të rikonstruktuar. </w:t>
      </w:r>
    </w:p>
    <w:p w:rsidR="008776B5" w:rsidRDefault="00E0425A" w:rsidP="007E124B">
      <w:pPr>
        <w:spacing w:line="276" w:lineRule="auto"/>
        <w:jc w:val="both"/>
        <w:rPr>
          <w:lang w:val="it-IT"/>
        </w:rPr>
      </w:pPr>
      <w:r w:rsidRPr="009A3375">
        <w:t xml:space="preserve">Pas ndjekjes së procedurës së prokurimit elektronik me vlera të vogla, </w:t>
      </w:r>
      <w:r w:rsidRPr="009A3375">
        <w:rPr>
          <w:lang w:val="it-IT"/>
        </w:rPr>
        <w:t xml:space="preserve">Kompania fituese BO “TOWER &amp; REGT CONSULTING”, </w:t>
      </w:r>
      <w:r w:rsidRPr="009A3375">
        <w:t xml:space="preserve">në bazë të kontratës </w:t>
      </w:r>
      <w:r w:rsidRPr="009A3375">
        <w:rPr>
          <w:lang w:val="it-IT"/>
        </w:rPr>
        <w:t xml:space="preserve">me nr. 457/3, datë </w:t>
      </w:r>
      <w:r w:rsidRPr="009A3375">
        <w:rPr>
          <w:lang w:val="it-IT"/>
        </w:rPr>
        <w:lastRenderedPageBreak/>
        <w:t>25.03.2019, lidhur me KDIMDP</w:t>
      </w:r>
      <w:r w:rsidR="006B0F35">
        <w:rPr>
          <w:lang w:val="it-IT"/>
        </w:rPr>
        <w:t>-në</w:t>
      </w:r>
      <w:r w:rsidRPr="009A3375">
        <w:rPr>
          <w:lang w:val="it-IT"/>
        </w:rPr>
        <w:t>, ka realizuar projekti</w:t>
      </w:r>
      <w:r w:rsidR="00A922DB">
        <w:rPr>
          <w:lang w:val="it-IT"/>
        </w:rPr>
        <w:t>n</w:t>
      </w:r>
      <w:r w:rsidRPr="009A3375">
        <w:rPr>
          <w:lang w:val="it-IT"/>
        </w:rPr>
        <w:t xml:space="preserve"> dhe preventivin final të zbatimit të punimeve për Rikonstruksionin e katit përdhe të godinës së ish Hote</w:t>
      </w:r>
      <w:r w:rsidR="006B0F35">
        <w:rPr>
          <w:lang w:val="it-IT"/>
        </w:rPr>
        <w:t>l Drinit, në vlerën 399.600 lek</w:t>
      </w:r>
      <w:r w:rsidRPr="009A3375">
        <w:rPr>
          <w:lang w:val="it-IT"/>
        </w:rPr>
        <w:t>, pages</w:t>
      </w:r>
      <w:r w:rsidR="008872CC">
        <w:rPr>
          <w:lang w:val="it-IT"/>
        </w:rPr>
        <w:t>ë</w:t>
      </w:r>
      <w:r w:rsidRPr="009A3375">
        <w:rPr>
          <w:lang w:val="it-IT"/>
        </w:rPr>
        <w:t xml:space="preserve"> e cila do te reflektohet (sipas të dhënave të</w:t>
      </w:r>
      <w:r w:rsidR="006B0F35">
        <w:rPr>
          <w:lang w:val="it-IT"/>
        </w:rPr>
        <w:t xml:space="preserve"> degës së Thesarit) në muajin m</w:t>
      </w:r>
      <w:r w:rsidRPr="009A3375">
        <w:rPr>
          <w:lang w:val="it-IT"/>
        </w:rPr>
        <w:t xml:space="preserve">aj 2019.  </w:t>
      </w:r>
      <w:r w:rsidR="008872CC">
        <w:rPr>
          <w:lang w:val="it-IT"/>
        </w:rPr>
        <w:t>Mbi bazën e këtij pre</w:t>
      </w:r>
      <w:r w:rsidR="00A922DB">
        <w:rPr>
          <w:lang w:val="it-IT"/>
        </w:rPr>
        <w:t xml:space="preserve">ventivi, për mungesë financimi </w:t>
      </w:r>
      <w:r w:rsidR="006B0F35">
        <w:rPr>
          <w:lang w:val="it-IT"/>
        </w:rPr>
        <w:t xml:space="preserve">është kërkuar dhe </w:t>
      </w:r>
      <w:r w:rsidR="008872CC">
        <w:rPr>
          <w:lang w:val="it-IT"/>
        </w:rPr>
        <w:t xml:space="preserve">rialokuar fondi për zbatimin e punimeve, por nderkohe janë rillogaritur tarifat për shërbimet e </w:t>
      </w:r>
      <w:r w:rsidR="008872CC" w:rsidRPr="00E22F13">
        <w:rPr>
          <w:lang w:val="it-IT"/>
        </w:rPr>
        <w:t xml:space="preserve">mbikqyrjes së punimeve dhe kolaudimit të tyre. </w:t>
      </w:r>
      <w:r w:rsidR="008872CC">
        <w:rPr>
          <w:lang w:val="it-IT"/>
        </w:rPr>
        <w:t>G</w:t>
      </w:r>
      <w:r w:rsidR="008776B5" w:rsidRPr="00E22F13">
        <w:rPr>
          <w:lang w:val="it-IT"/>
        </w:rPr>
        <w:t>jatë mua</w:t>
      </w:r>
      <w:r w:rsidR="006B0F35">
        <w:rPr>
          <w:lang w:val="it-IT"/>
        </w:rPr>
        <w:t>jit qershor</w:t>
      </w:r>
      <w:r w:rsidR="008776B5" w:rsidRPr="00E22F13">
        <w:rPr>
          <w:lang w:val="it-IT"/>
        </w:rPr>
        <w:t xml:space="preserve"> do të nisin procedurat </w:t>
      </w:r>
      <w:r w:rsidR="008872CC">
        <w:rPr>
          <w:lang w:val="it-IT"/>
        </w:rPr>
        <w:t xml:space="preserve">e rikonstruksionit </w:t>
      </w:r>
      <w:r w:rsidR="008776B5" w:rsidRPr="00E22F13">
        <w:rPr>
          <w:lang w:val="it-IT"/>
        </w:rPr>
        <w:t>(zbatimi i punimeve) si dhe shërbim</w:t>
      </w:r>
      <w:r w:rsidR="008872CC">
        <w:rPr>
          <w:lang w:val="it-IT"/>
        </w:rPr>
        <w:t>i</w:t>
      </w:r>
      <w:r w:rsidR="008776B5" w:rsidRPr="00E22F13">
        <w:rPr>
          <w:lang w:val="it-IT"/>
        </w:rPr>
        <w:t xml:space="preserve"> </w:t>
      </w:r>
      <w:r w:rsidR="008872CC">
        <w:rPr>
          <w:lang w:val="it-IT"/>
        </w:rPr>
        <w:t>i</w:t>
      </w:r>
      <w:r w:rsidR="008776B5" w:rsidRPr="00E22F13">
        <w:rPr>
          <w:lang w:val="it-IT"/>
        </w:rPr>
        <w:t xml:space="preserve"> mbik</w:t>
      </w:r>
      <w:r w:rsidR="006B0F35">
        <w:rPr>
          <w:lang w:val="it-IT"/>
        </w:rPr>
        <w:t>ë</w:t>
      </w:r>
      <w:r w:rsidR="008776B5" w:rsidRPr="00E22F13">
        <w:rPr>
          <w:lang w:val="it-IT"/>
        </w:rPr>
        <w:t>qyrjes</w:t>
      </w:r>
      <w:r w:rsidR="00A922DB">
        <w:rPr>
          <w:lang w:val="it-IT"/>
        </w:rPr>
        <w:t>.</w:t>
      </w:r>
      <w:r w:rsidR="008776B5" w:rsidRPr="00E22F13">
        <w:rPr>
          <w:lang w:val="it-IT"/>
        </w:rPr>
        <w:t xml:space="preserve"> Hap pas hapi do të informoheni mbi ecurinë e shpenzimeve kapitale dhe statusin për çdo projekt/produkt investimi. </w:t>
      </w:r>
    </w:p>
    <w:p w:rsidR="006B0F35" w:rsidRPr="00E22F13" w:rsidRDefault="006B0F35" w:rsidP="007E124B">
      <w:pPr>
        <w:spacing w:line="276" w:lineRule="auto"/>
        <w:jc w:val="both"/>
        <w:rPr>
          <w:lang w:val="it-IT"/>
        </w:rPr>
      </w:pPr>
    </w:p>
    <w:p w:rsidR="003433CE" w:rsidRPr="009A3375" w:rsidRDefault="00E0425A" w:rsidP="007E124B">
      <w:pPr>
        <w:pStyle w:val="BodyText"/>
        <w:spacing w:line="276" w:lineRule="auto"/>
        <w:ind w:right="-46"/>
        <w:jc w:val="both"/>
        <w:rPr>
          <w:bCs/>
        </w:rPr>
      </w:pPr>
      <w:r w:rsidRPr="009A3375">
        <w:rPr>
          <w:b/>
        </w:rPr>
        <w:t>Si përfundim</w:t>
      </w:r>
      <w:r w:rsidRPr="009A3375">
        <w:t xml:space="preserve">, vlerësojmë dhe angazhohemi se respektimi i ligjit dhe zbatimi i tij janë dhe do të vazhdojnë të jenë parimet bazë të punës sonë në </w:t>
      </w:r>
      <w:r w:rsidRPr="009A3375">
        <w:rPr>
          <w:bCs/>
        </w:rPr>
        <w:t>përdorimin e fondeve publike</w:t>
      </w:r>
      <w:r w:rsidRPr="009A3375">
        <w:t xml:space="preserve"> </w:t>
      </w:r>
      <w:r w:rsidRPr="009A3375">
        <w:rPr>
          <w:bCs/>
        </w:rPr>
        <w:t xml:space="preserve">me efektivitet, ekonomi dhe eficensë. </w:t>
      </w:r>
    </w:p>
    <w:p w:rsidR="003433CE" w:rsidRPr="009A3375" w:rsidRDefault="003433CE" w:rsidP="007E124B">
      <w:pPr>
        <w:spacing w:line="276" w:lineRule="auto"/>
        <w:jc w:val="both"/>
        <w:rPr>
          <w:rFonts w:eastAsia="Batang"/>
        </w:rPr>
      </w:pPr>
      <w:r w:rsidRPr="009A3375">
        <w:rPr>
          <w:rFonts w:eastAsia="Batang"/>
          <w:b/>
        </w:rPr>
        <w:t xml:space="preserve">Në Aneksin nr. 3 </w:t>
      </w:r>
      <w:r w:rsidRPr="009A3375">
        <w:rPr>
          <w:rFonts w:eastAsia="Batang"/>
        </w:rPr>
        <w:t xml:space="preserve">është paraqitur realizimi i treguesve të performancës/produkteve (në sasi dhe vlerë)  në zbatim të objektivave për </w:t>
      </w:r>
      <w:r w:rsidR="00F51557" w:rsidRPr="009A3375">
        <w:rPr>
          <w:rFonts w:eastAsia="Batang"/>
        </w:rPr>
        <w:t>periudh</w:t>
      </w:r>
      <w:r w:rsidR="00FC1C84" w:rsidRPr="009A3375">
        <w:rPr>
          <w:rFonts w:eastAsia="Batang"/>
        </w:rPr>
        <w:t>ë</w:t>
      </w:r>
      <w:r w:rsidR="00F51557" w:rsidRPr="009A3375">
        <w:rPr>
          <w:rFonts w:eastAsia="Batang"/>
        </w:rPr>
        <w:t>n 4 mujore 201</w:t>
      </w:r>
      <w:r w:rsidR="00E0425A" w:rsidRPr="009A3375">
        <w:rPr>
          <w:rFonts w:eastAsia="Batang"/>
        </w:rPr>
        <w:t>9.</w:t>
      </w:r>
    </w:p>
    <w:p w:rsidR="003433CE" w:rsidRPr="009A3375" w:rsidRDefault="003433CE" w:rsidP="007E124B">
      <w:pPr>
        <w:spacing w:line="276" w:lineRule="auto"/>
        <w:jc w:val="both"/>
        <w:rPr>
          <w:rFonts w:eastAsia="Batang"/>
          <w:b/>
        </w:rPr>
      </w:pPr>
    </w:p>
    <w:p w:rsidR="003433CE" w:rsidRPr="009A3375" w:rsidRDefault="00E43105" w:rsidP="007E124B">
      <w:pPr>
        <w:pStyle w:val="ListParagraph"/>
        <w:ind w:left="0"/>
        <w:contextualSpacing w:val="0"/>
        <w:jc w:val="both"/>
        <w:rPr>
          <w:rFonts w:ascii="Times New Roman" w:hAnsi="Times New Roman"/>
          <w:sz w:val="24"/>
          <w:szCs w:val="24"/>
        </w:rPr>
      </w:pPr>
      <w:r w:rsidRPr="009A3375">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w:t>
      </w:r>
      <w:r w:rsidR="006B0F35">
        <w:rPr>
          <w:rFonts w:ascii="Times New Roman" w:hAnsi="Times New Roman"/>
          <w:sz w:val="24"/>
          <w:szCs w:val="24"/>
        </w:rPr>
        <w:t xml:space="preserve">ësimi i regjistrit të kërkesave </w:t>
      </w:r>
      <w:r w:rsidRPr="009A3375">
        <w:rPr>
          <w:rFonts w:ascii="Times New Roman" w:hAnsi="Times New Roman"/>
          <w:sz w:val="24"/>
          <w:szCs w:val="24"/>
        </w:rPr>
        <w:t>dh</w:t>
      </w:r>
      <w:r w:rsidR="006B0F35">
        <w:rPr>
          <w:rFonts w:ascii="Times New Roman" w:hAnsi="Times New Roman"/>
          <w:sz w:val="24"/>
          <w:szCs w:val="24"/>
        </w:rPr>
        <w:t xml:space="preserve">e përgjigjeve, numri i ankesave </w:t>
      </w:r>
      <w:r w:rsidRPr="009A3375">
        <w:rPr>
          <w:rFonts w:ascii="Times New Roman" w:hAnsi="Times New Roman"/>
          <w:sz w:val="24"/>
          <w:szCs w:val="24"/>
        </w:rPr>
        <w:t xml:space="preserve">të shqyrtuara, hetimet e kryera, seanca dëgjimore të zhvilluara si dhe vendimet e dhëna.  Produktet kryesore janë:  </w:t>
      </w:r>
    </w:p>
    <w:p w:rsidR="00E43105" w:rsidRPr="009A3375" w:rsidRDefault="00C46F97" w:rsidP="007E124B">
      <w:pPr>
        <w:spacing w:after="160" w:line="276" w:lineRule="auto"/>
        <w:jc w:val="both"/>
      </w:pPr>
      <w:r w:rsidRPr="009A3375">
        <w:rPr>
          <w:rFonts w:eastAsia="Batang"/>
          <w:b/>
        </w:rPr>
        <w:t xml:space="preserve">1- </w:t>
      </w:r>
      <w:r w:rsidR="00E0425A" w:rsidRPr="009A3375">
        <w:rPr>
          <w:rFonts w:eastAsia="Batang"/>
          <w:b/>
        </w:rPr>
        <w:t>Nënp</w:t>
      </w:r>
      <w:r w:rsidRPr="009A3375">
        <w:rPr>
          <w:rFonts w:eastAsia="Batang"/>
          <w:b/>
        </w:rPr>
        <w:t>rodukt</w:t>
      </w:r>
      <w:r w:rsidR="00E0425A" w:rsidRPr="009A3375">
        <w:rPr>
          <w:rFonts w:eastAsia="Batang"/>
          <w:b/>
        </w:rPr>
        <w:t>et</w:t>
      </w:r>
      <w:r w:rsidRPr="009A3375">
        <w:rPr>
          <w:rFonts w:eastAsia="Batang"/>
          <w:b/>
        </w:rPr>
        <w:t xml:space="preserve">: </w:t>
      </w:r>
      <w:r w:rsidR="00E43105" w:rsidRPr="009A3375">
        <w:rPr>
          <w:b/>
        </w:rPr>
        <w:t>Trajtim i ankesave brenda afateve</w:t>
      </w:r>
      <w:r w:rsidR="00342679" w:rsidRPr="009A3375">
        <w:t xml:space="preserve"> (</w:t>
      </w:r>
      <w:r w:rsidR="00E43105" w:rsidRPr="009A3375">
        <w:t>kthim p</w:t>
      </w:r>
      <w:r w:rsidR="003B469F">
        <w:t>ë</w:t>
      </w:r>
      <w:r w:rsidR="00E43105" w:rsidRPr="009A3375">
        <w:t>rgjigje/inspektime/ vendime,  kryesisht në bazë të ankesave</w:t>
      </w:r>
      <w:r w:rsidR="00B720E4">
        <w:t>, rreth 900+-</w:t>
      </w:r>
      <w:r w:rsidR="00E43105" w:rsidRPr="009A3375">
        <w:t>)</w:t>
      </w:r>
    </w:p>
    <w:p w:rsidR="007879EC" w:rsidRPr="00A922DB" w:rsidRDefault="00C46F97" w:rsidP="007E124B">
      <w:pPr>
        <w:pStyle w:val="NormalWeb"/>
        <w:spacing w:line="276" w:lineRule="auto"/>
        <w:jc w:val="both"/>
        <w:rPr>
          <w:lang w:val="sq-AL"/>
        </w:rPr>
      </w:pPr>
      <w:r w:rsidRPr="00A922DB">
        <w:rPr>
          <w:lang w:val="sq-AL"/>
        </w:rPr>
        <w:t xml:space="preserve">Gjatë </w:t>
      </w:r>
      <w:r w:rsidR="00C539D0" w:rsidRPr="00A922DB">
        <w:rPr>
          <w:lang w:val="sq-AL"/>
        </w:rPr>
        <w:t>periudh</w:t>
      </w:r>
      <w:r w:rsidR="00E43105" w:rsidRPr="00A922DB">
        <w:rPr>
          <w:lang w:val="sq-AL"/>
        </w:rPr>
        <w:t>ë</w:t>
      </w:r>
      <w:r w:rsidR="00C539D0" w:rsidRPr="00A922DB">
        <w:rPr>
          <w:lang w:val="sq-AL"/>
        </w:rPr>
        <w:t>s s</w:t>
      </w:r>
      <w:r w:rsidR="00E43105" w:rsidRPr="00A922DB">
        <w:rPr>
          <w:lang w:val="sq-AL"/>
        </w:rPr>
        <w:t>ë</w:t>
      </w:r>
      <w:r w:rsidR="00C539D0" w:rsidRPr="00A922DB">
        <w:rPr>
          <w:lang w:val="sq-AL"/>
        </w:rPr>
        <w:t xml:space="preserve"> raportimit </w:t>
      </w:r>
      <w:r w:rsidRPr="00A922DB">
        <w:rPr>
          <w:lang w:val="sq-AL"/>
        </w:rPr>
        <w:t xml:space="preserve">janë depozituar </w:t>
      </w:r>
      <w:r w:rsidR="00F217D9" w:rsidRPr="00A922DB">
        <w:rPr>
          <w:b/>
          <w:lang w:val="sq-AL"/>
        </w:rPr>
        <w:t>296</w:t>
      </w:r>
      <w:r w:rsidR="00C539D0" w:rsidRPr="00A922DB">
        <w:rPr>
          <w:b/>
          <w:lang w:val="sq-AL"/>
        </w:rPr>
        <w:t xml:space="preserve"> </w:t>
      </w:r>
      <w:r w:rsidRPr="00A922DB">
        <w:rPr>
          <w:lang w:val="sq-AL"/>
        </w:rPr>
        <w:t xml:space="preserve">ankesa kryesisht me objekt “Refuzim dhënie informacioni dhe kopje të </w:t>
      </w:r>
      <w:r w:rsidR="00A922DB" w:rsidRPr="00A922DB">
        <w:rPr>
          <w:lang w:val="sq-AL"/>
        </w:rPr>
        <w:t>dokumenteve</w:t>
      </w:r>
      <w:r w:rsidRPr="00A922DB">
        <w:rPr>
          <w:lang w:val="sq-AL"/>
        </w:rPr>
        <w:t xml:space="preserve"> zyrtare” ndaj autoriteteve publike. Zyra e Komisionerit ka realizuar</w:t>
      </w:r>
      <w:r w:rsidRPr="00A922DB">
        <w:rPr>
          <w:b/>
          <w:lang w:val="sq-AL"/>
        </w:rPr>
        <w:t xml:space="preserve"> </w:t>
      </w:r>
      <w:r w:rsidR="00F217D9" w:rsidRPr="00A922DB">
        <w:rPr>
          <w:b/>
          <w:lang w:val="sq-AL"/>
        </w:rPr>
        <w:t>44</w:t>
      </w:r>
      <w:r w:rsidR="00A922DB">
        <w:rPr>
          <w:lang w:val="sq-AL"/>
        </w:rPr>
        <w:t xml:space="preserve"> inspektime pranë Autoriteteve </w:t>
      </w:r>
      <w:r w:rsidRPr="00A922DB">
        <w:rPr>
          <w:lang w:val="sq-AL"/>
        </w:rPr>
        <w:t xml:space="preserve">Publike me synim verifikimin e ankesave të depozituara, si dhe janë dërguar pranë Autoriteteve Publike </w:t>
      </w:r>
      <w:r w:rsidR="00F217D9" w:rsidRPr="00A922DB">
        <w:rPr>
          <w:b/>
          <w:lang w:val="sq-AL"/>
        </w:rPr>
        <w:t xml:space="preserve">92 </w:t>
      </w:r>
      <w:r w:rsidRPr="00A922DB">
        <w:rPr>
          <w:lang w:val="sq-AL"/>
        </w:rPr>
        <w:t xml:space="preserve">kërkesa për parashtrime. Gjithashtu, rezulton se </w:t>
      </w:r>
      <w:r w:rsidR="00F217D9" w:rsidRPr="00A922DB">
        <w:rPr>
          <w:b/>
          <w:lang w:val="sq-AL"/>
        </w:rPr>
        <w:t>vetëm 6</w:t>
      </w:r>
      <w:r w:rsidRPr="00A922DB">
        <w:rPr>
          <w:lang w:val="sq-AL"/>
        </w:rPr>
        <w:t xml:space="preserve"> ankesa kanë qenë </w:t>
      </w:r>
      <w:r w:rsidR="00F217D9" w:rsidRPr="00A922DB">
        <w:rPr>
          <w:lang w:val="sq-AL"/>
        </w:rPr>
        <w:t>të paplota</w:t>
      </w:r>
      <w:r w:rsidR="00847462" w:rsidRPr="00A922DB">
        <w:rPr>
          <w:lang w:val="sq-AL"/>
        </w:rPr>
        <w:t xml:space="preserve">, </w:t>
      </w:r>
      <w:r w:rsidR="00F217D9" w:rsidRPr="00A922DB">
        <w:rPr>
          <w:lang w:val="sq-AL"/>
        </w:rPr>
        <w:t>38</w:t>
      </w:r>
      <w:r w:rsidR="00847462" w:rsidRPr="00A922DB">
        <w:rPr>
          <w:lang w:val="sq-AL"/>
        </w:rPr>
        <w:t xml:space="preserve"> kanë qenë jashtë </w:t>
      </w:r>
      <w:r w:rsidR="00F217D9" w:rsidRPr="00A922DB">
        <w:rPr>
          <w:lang w:val="sq-AL"/>
        </w:rPr>
        <w:t>objektit të ligjit për të drejtën e informimit</w:t>
      </w:r>
      <w:r w:rsidR="006B0F35">
        <w:rPr>
          <w:lang w:val="sq-AL"/>
        </w:rPr>
        <w:t>.</w:t>
      </w:r>
      <w:r w:rsidR="00F217D9" w:rsidRPr="00A922DB">
        <w:rPr>
          <w:lang w:val="sq-AL"/>
        </w:rPr>
        <w:t xml:space="preserve"> </w:t>
      </w:r>
      <w:r w:rsidRPr="00A922DB">
        <w:rPr>
          <w:lang w:val="sq-AL"/>
        </w:rPr>
        <w:t xml:space="preserve">Në ndjekje të procedurave janë marrë </w:t>
      </w:r>
      <w:r w:rsidR="00F217D9" w:rsidRPr="00A922DB">
        <w:rPr>
          <w:b/>
          <w:lang w:val="sq-AL"/>
        </w:rPr>
        <w:t>9</w:t>
      </w:r>
      <w:r w:rsidRPr="00A922DB">
        <w:rPr>
          <w:lang w:val="sq-AL"/>
        </w:rPr>
        <w:t xml:space="preserve"> Vendime Urdhërimi dhe </w:t>
      </w:r>
      <w:r w:rsidRPr="00A922DB">
        <w:rPr>
          <w:b/>
          <w:lang w:val="sq-AL"/>
        </w:rPr>
        <w:t>1</w:t>
      </w:r>
      <w:r w:rsidR="00A922DB">
        <w:rPr>
          <w:lang w:val="sq-AL"/>
        </w:rPr>
        <w:t xml:space="preserve"> </w:t>
      </w:r>
      <w:r w:rsidR="00F217D9" w:rsidRPr="00A922DB">
        <w:rPr>
          <w:lang w:val="sq-AL"/>
        </w:rPr>
        <w:t xml:space="preserve">Vendim gjobe. Nga trajtimi i Zyrës së Komisionerit janë përmbushur 214 ankesa pra </w:t>
      </w:r>
      <w:r w:rsidR="00F217D9" w:rsidRPr="00A922DB">
        <w:rPr>
          <w:b/>
          <w:lang w:val="sq-AL"/>
        </w:rPr>
        <w:t>rreth</w:t>
      </w:r>
      <w:r w:rsidR="003B469F" w:rsidRPr="00A922DB">
        <w:rPr>
          <w:b/>
          <w:lang w:val="sq-AL"/>
        </w:rPr>
        <w:t xml:space="preserve"> 87 % e ankesave të depozituara</w:t>
      </w:r>
      <w:r w:rsidR="00F217D9" w:rsidRPr="00A922DB">
        <w:rPr>
          <w:b/>
          <w:lang w:val="sq-AL"/>
        </w:rPr>
        <w:t>,</w:t>
      </w:r>
      <w:r w:rsidR="00F217D9" w:rsidRPr="00A922DB">
        <w:rPr>
          <w:lang w:val="sq-AL"/>
        </w:rPr>
        <w:t xml:space="preserve"> brenda objekti të ligjit,  ndërkohë vijon shqyrtimi për 36 të tjera. Ky është një tregues cilësor i veprimtarisë së  Zyrës së Komisionerit, ku  qytetari merr atë  çfarë kërkon dhe i nevojitet. </w:t>
      </w:r>
    </w:p>
    <w:p w:rsidR="00A448AE" w:rsidRDefault="00F217D9" w:rsidP="007E124B">
      <w:pPr>
        <w:spacing w:line="276" w:lineRule="auto"/>
        <w:jc w:val="both"/>
      </w:pPr>
      <w:r w:rsidRPr="009A3375">
        <w:rPr>
          <w:b/>
        </w:rPr>
        <w:t>Nënp</w:t>
      </w:r>
      <w:r w:rsidR="00861E98" w:rsidRPr="009A3375">
        <w:rPr>
          <w:b/>
        </w:rPr>
        <w:t xml:space="preserve">rodukti A : </w:t>
      </w:r>
      <w:r w:rsidRPr="009A3375">
        <w:rPr>
          <w:b/>
        </w:rPr>
        <w:t>296</w:t>
      </w:r>
      <w:r w:rsidR="00861E98" w:rsidRPr="009A3375">
        <w:rPr>
          <w:b/>
        </w:rPr>
        <w:t xml:space="preserve"> </w:t>
      </w:r>
      <w:r w:rsidR="003F2259" w:rsidRPr="009A3375">
        <w:rPr>
          <w:b/>
        </w:rPr>
        <w:t xml:space="preserve">+ </w:t>
      </w:r>
      <w:r w:rsidRPr="009A3375">
        <w:rPr>
          <w:b/>
        </w:rPr>
        <w:t>44</w:t>
      </w:r>
      <w:r w:rsidR="003F2259" w:rsidRPr="009A3375">
        <w:rPr>
          <w:b/>
        </w:rPr>
        <w:t xml:space="preserve"> </w:t>
      </w:r>
      <w:r w:rsidR="00861E98" w:rsidRPr="009A3375">
        <w:rPr>
          <w:b/>
        </w:rPr>
        <w:t xml:space="preserve"> (ankesa</w:t>
      </w:r>
      <w:r w:rsidR="003B469F">
        <w:rPr>
          <w:b/>
        </w:rPr>
        <w:t>+ inspektime</w:t>
      </w:r>
      <w:r w:rsidR="00861E98" w:rsidRPr="009A3375">
        <w:rPr>
          <w:b/>
        </w:rPr>
        <w:t xml:space="preserve">) </w:t>
      </w:r>
      <w:r w:rsidR="00861E98" w:rsidRPr="009A3375">
        <w:t xml:space="preserve">pa përfshirë vendime, rekomandime, e të tjera veprime. </w:t>
      </w:r>
    </w:p>
    <w:p w:rsidR="00667B75" w:rsidRPr="009A3375" w:rsidRDefault="00667B75" w:rsidP="007E124B">
      <w:pPr>
        <w:spacing w:line="276" w:lineRule="auto"/>
        <w:jc w:val="both"/>
      </w:pPr>
    </w:p>
    <w:p w:rsidR="00667B75" w:rsidRPr="00667B75" w:rsidRDefault="00F217D9" w:rsidP="007E124B">
      <w:pPr>
        <w:pStyle w:val="ListParagraph"/>
        <w:numPr>
          <w:ilvl w:val="0"/>
          <w:numId w:val="29"/>
        </w:numPr>
        <w:jc w:val="both"/>
        <w:rPr>
          <w:rFonts w:ascii="Times New Roman" w:hAnsi="Times New Roman"/>
          <w:b/>
          <w:sz w:val="24"/>
          <w:szCs w:val="24"/>
        </w:rPr>
      </w:pPr>
      <w:r w:rsidRPr="00667B75">
        <w:rPr>
          <w:rFonts w:ascii="Times New Roman" w:eastAsia="Batang" w:hAnsi="Times New Roman"/>
          <w:b/>
          <w:sz w:val="24"/>
          <w:szCs w:val="24"/>
        </w:rPr>
        <w:t>Nënp</w:t>
      </w:r>
      <w:r w:rsidR="00A922DB">
        <w:rPr>
          <w:rFonts w:ascii="Times New Roman" w:eastAsia="Batang" w:hAnsi="Times New Roman"/>
          <w:b/>
          <w:sz w:val="24"/>
          <w:szCs w:val="24"/>
        </w:rPr>
        <w:t xml:space="preserve">rodukti - </w:t>
      </w:r>
      <w:r w:rsidR="00B720E4">
        <w:rPr>
          <w:rFonts w:ascii="Times New Roman" w:hAnsi="Times New Roman"/>
          <w:b/>
          <w:sz w:val="24"/>
          <w:szCs w:val="24"/>
        </w:rPr>
        <w:t xml:space="preserve">Monitorim </w:t>
      </w:r>
      <w:r w:rsidR="00A922DB">
        <w:rPr>
          <w:rFonts w:ascii="Times New Roman" w:hAnsi="Times New Roman"/>
          <w:b/>
          <w:sz w:val="24"/>
          <w:szCs w:val="24"/>
        </w:rPr>
        <w:t xml:space="preserve">Autoritete Publike me programe </w:t>
      </w:r>
      <w:r w:rsidR="00667B75" w:rsidRPr="00667B75">
        <w:rPr>
          <w:rFonts w:ascii="Times New Roman" w:hAnsi="Times New Roman"/>
          <w:b/>
          <w:sz w:val="24"/>
          <w:szCs w:val="24"/>
        </w:rPr>
        <w:t>dhe transparencë të plotë</w:t>
      </w:r>
      <w:r w:rsidR="00A922DB">
        <w:rPr>
          <w:rFonts w:ascii="Times New Roman" w:hAnsi="Times New Roman"/>
          <w:b/>
          <w:sz w:val="24"/>
          <w:szCs w:val="24"/>
        </w:rPr>
        <w:t xml:space="preserve"> </w:t>
      </w:r>
      <w:r w:rsidR="00B720E4">
        <w:rPr>
          <w:rFonts w:ascii="Times New Roman" w:hAnsi="Times New Roman"/>
          <w:b/>
          <w:sz w:val="24"/>
          <w:szCs w:val="24"/>
        </w:rPr>
        <w:t xml:space="preserve"> ( 100+-) </w:t>
      </w:r>
    </w:p>
    <w:p w:rsidR="00667B75" w:rsidRPr="00667B75" w:rsidRDefault="006B0F35" w:rsidP="007E124B">
      <w:pPr>
        <w:spacing w:line="276" w:lineRule="auto"/>
        <w:jc w:val="both"/>
      </w:pPr>
      <w:r>
        <w:t>Sigurimi i Transparencës</w:t>
      </w:r>
      <w:r w:rsidR="0052360C" w:rsidRPr="00667B75">
        <w:t xml:space="preserve"> së veprimtarisë së Autoriteteve Publike, nëpërmjet realizimit të proceseve të monitorimit të elementëve të ndryshëm të zbatimit të ligjit për të drejtën e informimit. </w:t>
      </w:r>
    </w:p>
    <w:p w:rsidR="007879EC" w:rsidRDefault="003433CE" w:rsidP="007E124B">
      <w:pPr>
        <w:spacing w:line="276" w:lineRule="auto"/>
        <w:jc w:val="both"/>
      </w:pPr>
      <w:r w:rsidRPr="00667B75">
        <w:lastRenderedPageBreak/>
        <w:t xml:space="preserve">Gjatë </w:t>
      </w:r>
      <w:r w:rsidR="006B0F35" w:rsidRPr="00667B75">
        <w:t>periudhës</w:t>
      </w:r>
      <w:r w:rsidR="0008276B" w:rsidRPr="00667B75">
        <w:t xml:space="preserve"> 4 mujore</w:t>
      </w:r>
      <w:r w:rsidRPr="00667B75">
        <w:t xml:space="preserve">, Zyra e Komisionerit </w:t>
      </w:r>
      <w:r w:rsidR="00667B75" w:rsidRPr="00667B75">
        <w:t xml:space="preserve">po vijon me </w:t>
      </w:r>
      <w:r w:rsidRPr="00667B75">
        <w:t xml:space="preserve"> monitor</w:t>
      </w:r>
      <w:r w:rsidR="00667B75" w:rsidRPr="00667B75">
        <w:t>imin kryesisht të</w:t>
      </w:r>
      <w:r w:rsidRPr="00667B75">
        <w:t xml:space="preserve"> faqe</w:t>
      </w:r>
      <w:r w:rsidR="00667B75" w:rsidRPr="00667B75">
        <w:t>ve</w:t>
      </w:r>
      <w:r w:rsidRPr="00667B75">
        <w:t xml:space="preserve"> zyrtare të Autoriteteve </w:t>
      </w:r>
      <w:r w:rsidR="006B0F35">
        <w:t>të Pushtetit Vendor</w:t>
      </w:r>
      <w:r w:rsidR="00667B75" w:rsidRPr="00667B75">
        <w:rPr>
          <w:b/>
        </w:rPr>
        <w:t>,</w:t>
      </w:r>
      <w:r w:rsidRPr="00667B75">
        <w:t xml:space="preserve"> </w:t>
      </w:r>
      <w:r w:rsidR="00667B75" w:rsidRPr="00667B75">
        <w:t xml:space="preserve">duke </w:t>
      </w:r>
      <w:r w:rsidR="0008276B" w:rsidRPr="00667B75">
        <w:t xml:space="preserve"> </w:t>
      </w:r>
      <w:r w:rsidRPr="00667B75">
        <w:t>kërkuar informacion lidhur me përmbushjen e detyrimeve që burojnë nga ligji nr. 119/2014, të tilla si publikimi i programeve të transparencës, caktimi i koordinatorit për të drejtën e informimit si dhe publikimin e regjistrit të kërkesave dhe përgjigjeve</w:t>
      </w:r>
      <w:r w:rsidR="00667B75" w:rsidRPr="00667B75">
        <w:t>. Në</w:t>
      </w:r>
      <w:r w:rsidR="006B0F35">
        <w:t xml:space="preserve"> periudhën e 4 mujorit të dytë </w:t>
      </w:r>
      <w:r w:rsidR="00667B75" w:rsidRPr="00667B75">
        <w:t>do të jepen rezultatet konkrete</w:t>
      </w:r>
      <w:r w:rsidR="006B0F35">
        <w:t>.</w:t>
      </w:r>
      <w:r w:rsidR="00667B75" w:rsidRPr="00667B75">
        <w:t xml:space="preserve"> </w:t>
      </w:r>
    </w:p>
    <w:p w:rsidR="00B720E4" w:rsidRDefault="00B720E4" w:rsidP="007E124B">
      <w:pPr>
        <w:spacing w:line="276" w:lineRule="auto"/>
        <w:jc w:val="both"/>
      </w:pPr>
    </w:p>
    <w:p w:rsidR="00667B75" w:rsidRDefault="00667B75" w:rsidP="007E124B">
      <w:pPr>
        <w:spacing w:line="276" w:lineRule="auto"/>
        <w:jc w:val="both"/>
        <w:rPr>
          <w:b/>
        </w:rPr>
      </w:pPr>
      <w:r>
        <w:rPr>
          <w:b/>
        </w:rPr>
        <w:t>N</w:t>
      </w:r>
      <w:r w:rsidR="00B720E4">
        <w:rPr>
          <w:b/>
        </w:rPr>
        <w:t>ë</w:t>
      </w:r>
      <w:r>
        <w:rPr>
          <w:b/>
        </w:rPr>
        <w:t xml:space="preserve">nprodukti B </w:t>
      </w:r>
      <w:r w:rsidR="00B720E4">
        <w:rPr>
          <w:b/>
        </w:rPr>
        <w:t xml:space="preserve">- </w:t>
      </w:r>
      <w:r>
        <w:rPr>
          <w:b/>
        </w:rPr>
        <w:t xml:space="preserve">Nuk ka të dhëna </w:t>
      </w:r>
    </w:p>
    <w:p w:rsidR="00B720E4" w:rsidRPr="00667B75" w:rsidRDefault="00B720E4" w:rsidP="007E124B">
      <w:pPr>
        <w:spacing w:line="276" w:lineRule="auto"/>
        <w:jc w:val="both"/>
        <w:rPr>
          <w:b/>
        </w:rPr>
      </w:pPr>
    </w:p>
    <w:p w:rsidR="003433CE" w:rsidRPr="009A3375" w:rsidRDefault="003433CE" w:rsidP="007E124B">
      <w:pPr>
        <w:numPr>
          <w:ilvl w:val="0"/>
          <w:numId w:val="21"/>
        </w:numPr>
        <w:tabs>
          <w:tab w:val="left" w:pos="180"/>
          <w:tab w:val="left" w:pos="360"/>
          <w:tab w:val="left" w:pos="1170"/>
        </w:tabs>
        <w:spacing w:line="276" w:lineRule="auto"/>
        <w:jc w:val="both"/>
        <w:rPr>
          <w:b/>
          <w:color w:val="0D0D0D"/>
        </w:rPr>
      </w:pPr>
      <w:r w:rsidRPr="009A3375">
        <w:rPr>
          <w:b/>
          <w:color w:val="0D0D0D"/>
        </w:rPr>
        <w:t xml:space="preserve">Aktivitete të tjera mbështetëse. </w:t>
      </w:r>
    </w:p>
    <w:p w:rsidR="003433CE" w:rsidRPr="009A3375" w:rsidRDefault="003433CE" w:rsidP="007E124B">
      <w:pPr>
        <w:autoSpaceDE w:val="0"/>
        <w:autoSpaceDN w:val="0"/>
        <w:adjustRightInd w:val="0"/>
        <w:spacing w:line="276" w:lineRule="auto"/>
        <w:jc w:val="both"/>
        <w:rPr>
          <w:b/>
          <w:color w:val="0D0D0D"/>
        </w:rPr>
      </w:pPr>
    </w:p>
    <w:p w:rsidR="0052360C" w:rsidRPr="009A3375" w:rsidRDefault="006B0F35" w:rsidP="007E124B">
      <w:pPr>
        <w:spacing w:line="276" w:lineRule="auto"/>
        <w:jc w:val="both"/>
      </w:pPr>
      <w:r>
        <w:t xml:space="preserve">Ka vijuar puna lidhur me </w:t>
      </w:r>
      <w:r w:rsidR="0052360C" w:rsidRPr="009A3375">
        <w:t>detyrimet që burojnë nga Strategjia Ndërsektoriale për Reformën në Administratën Publike dhe nga Strategjia Antiko</w:t>
      </w:r>
      <w:r>
        <w:t xml:space="preserve">rrupsion. Gjatë kësaj periudhe, në bashkëpunim me </w:t>
      </w:r>
      <w:r w:rsidR="0052360C" w:rsidRPr="009A3375">
        <w:t xml:space="preserve">ekspertë të Delegacionit </w:t>
      </w:r>
      <w:r w:rsidRPr="009A3375">
        <w:t>Evropian</w:t>
      </w:r>
      <w:r w:rsidR="0052360C" w:rsidRPr="009A3375">
        <w:t xml:space="preserve">, janë </w:t>
      </w:r>
      <w:r w:rsidR="00802A50" w:rsidRPr="009A3375">
        <w:t xml:space="preserve">rishikuar </w:t>
      </w:r>
      <w:r w:rsidR="0052360C" w:rsidRPr="009A3375">
        <w:t xml:space="preserve">indikatorët e KDIMDP-së lidhur me strategjinë dhe planin e masave </w:t>
      </w:r>
      <w:r w:rsidR="0052360C" w:rsidRPr="009A3375">
        <w:rPr>
          <w:shd w:val="clear" w:color="auto" w:fill="FFFFFF"/>
        </w:rPr>
        <w:t>që do të përfshihen në planin e ri të veprimit 201</w:t>
      </w:r>
      <w:r w:rsidR="00802A50" w:rsidRPr="009A3375">
        <w:rPr>
          <w:shd w:val="clear" w:color="auto" w:fill="FFFFFF"/>
        </w:rPr>
        <w:t>9</w:t>
      </w:r>
      <w:r w:rsidR="0052360C" w:rsidRPr="009A3375">
        <w:rPr>
          <w:shd w:val="clear" w:color="auto" w:fill="FFFFFF"/>
        </w:rPr>
        <w:t>-202</w:t>
      </w:r>
      <w:r w:rsidR="00802A50" w:rsidRPr="009A3375">
        <w:rPr>
          <w:shd w:val="clear" w:color="auto" w:fill="FFFFFF"/>
        </w:rPr>
        <w:t>2</w:t>
      </w:r>
      <w:r w:rsidR="0052360C" w:rsidRPr="009A3375">
        <w:rPr>
          <w:shd w:val="clear" w:color="auto" w:fill="FFFFFF"/>
        </w:rPr>
        <w:t xml:space="preserve"> të Strategjisë Antikorrupsion si dhe të Strategjisë Ndërsektoriale për Reformën në Administratën Publike. </w:t>
      </w:r>
    </w:p>
    <w:p w:rsidR="003433CE" w:rsidRPr="009A3375" w:rsidRDefault="003433CE" w:rsidP="007E124B">
      <w:pPr>
        <w:spacing w:line="276" w:lineRule="auto"/>
        <w:jc w:val="both"/>
        <w:rPr>
          <w:color w:val="FF0000"/>
        </w:rPr>
      </w:pPr>
    </w:p>
    <w:p w:rsidR="003E2368" w:rsidRPr="009A3375" w:rsidRDefault="0008276B" w:rsidP="007E124B">
      <w:pPr>
        <w:pStyle w:val="BodyText"/>
        <w:numPr>
          <w:ilvl w:val="0"/>
          <w:numId w:val="29"/>
        </w:numPr>
        <w:spacing w:after="0" w:line="276" w:lineRule="auto"/>
        <w:jc w:val="both"/>
        <w:rPr>
          <w:b/>
        </w:rPr>
      </w:pPr>
      <w:r w:rsidRPr="009A3375">
        <w:rPr>
          <w:rFonts w:eastAsia="Batang"/>
          <w:b/>
        </w:rPr>
        <w:t>Nën</w:t>
      </w:r>
      <w:r w:rsidR="00667B75">
        <w:rPr>
          <w:rFonts w:eastAsia="Batang"/>
          <w:b/>
        </w:rPr>
        <w:t>p</w:t>
      </w:r>
      <w:r w:rsidR="003433CE" w:rsidRPr="009A3375">
        <w:rPr>
          <w:rFonts w:eastAsia="Batang"/>
          <w:b/>
        </w:rPr>
        <w:t>rodukti</w:t>
      </w:r>
      <w:r w:rsidR="00667B75">
        <w:rPr>
          <w:rFonts w:eastAsia="Batang"/>
          <w:b/>
        </w:rPr>
        <w:t xml:space="preserve"> C </w:t>
      </w:r>
      <w:r w:rsidR="003433CE" w:rsidRPr="009A3375">
        <w:rPr>
          <w:rFonts w:eastAsia="Batang"/>
          <w:b/>
        </w:rPr>
        <w:t xml:space="preserve">: </w:t>
      </w:r>
      <w:r w:rsidR="00DB4E43" w:rsidRPr="009A3375">
        <w:rPr>
          <w:b/>
        </w:rPr>
        <w:t>Mbikëqyrje</w:t>
      </w:r>
      <w:r w:rsidR="003E2368" w:rsidRPr="009A3375">
        <w:rPr>
          <w:b/>
        </w:rPr>
        <w:t xml:space="preserve"> dhe inspektime</w:t>
      </w:r>
      <w:r w:rsidR="00C2423E" w:rsidRPr="009A3375">
        <w:rPr>
          <w:b/>
        </w:rPr>
        <w:t xml:space="preserve"> ( nr. </w:t>
      </w:r>
      <w:r w:rsidR="00D35561">
        <w:rPr>
          <w:b/>
        </w:rPr>
        <w:t>Rreth +-150</w:t>
      </w:r>
      <w:r w:rsidR="00C2423E" w:rsidRPr="009A3375">
        <w:rPr>
          <w:b/>
        </w:rPr>
        <w:t xml:space="preserve"> inspektime)</w:t>
      </w:r>
      <w:r w:rsidR="003E2368" w:rsidRPr="009A3375">
        <w:rPr>
          <w:b/>
        </w:rPr>
        <w:t>.</w:t>
      </w:r>
    </w:p>
    <w:p w:rsidR="00C2423E" w:rsidRPr="009A3375" w:rsidRDefault="00C2423E" w:rsidP="007E124B">
      <w:pPr>
        <w:pStyle w:val="BodyText"/>
        <w:spacing w:after="0" w:line="276" w:lineRule="auto"/>
        <w:jc w:val="both"/>
      </w:pPr>
    </w:p>
    <w:p w:rsidR="003E2368" w:rsidRPr="009A3375" w:rsidRDefault="003E2368" w:rsidP="007E124B">
      <w:pPr>
        <w:pStyle w:val="BodyText"/>
        <w:spacing w:after="0" w:line="276" w:lineRule="auto"/>
        <w:jc w:val="both"/>
      </w:pPr>
      <w:r w:rsidRPr="009A3375">
        <w:t>Nëpërmjet procedurave për realizimin e këtij produkti do të bëhet e mundur minimizimi i rrezikut të cënimit të privatësisë dhe mbro</w:t>
      </w:r>
      <w:r w:rsidR="00DB4E43">
        <w:t>jtjes së të dhënave personale; n</w:t>
      </w:r>
      <w:r w:rsidRPr="009A3375">
        <w:t>dërgjegjësimi dh</w:t>
      </w:r>
      <w:r w:rsidR="00DB4E43">
        <w:t>e disiplinimi i kontrolluesve; k</w:t>
      </w:r>
      <w:r w:rsidRPr="009A3375">
        <w:t xml:space="preserve">rijimi i praktikës së mirë për kontrolluesit. </w:t>
      </w:r>
    </w:p>
    <w:p w:rsidR="00667B75" w:rsidRDefault="00667B75" w:rsidP="007E124B">
      <w:pPr>
        <w:spacing w:line="276" w:lineRule="auto"/>
        <w:jc w:val="both"/>
        <w:rPr>
          <w:rFonts w:eastAsia="Calibri"/>
          <w:bCs/>
        </w:rPr>
      </w:pPr>
      <w:r w:rsidRPr="00546FFE">
        <w:rPr>
          <w:bCs/>
        </w:rPr>
        <w:t>Zyra e Komisionerit</w:t>
      </w:r>
      <w:r w:rsidR="00A922DB">
        <w:rPr>
          <w:bCs/>
        </w:rPr>
        <w:t>, ushtron inspektime</w:t>
      </w:r>
      <w:r>
        <w:rPr>
          <w:bCs/>
        </w:rPr>
        <w:t xml:space="preserve"> mbi baze ankese por edhe</w:t>
      </w:r>
      <w:r w:rsidR="002631A5">
        <w:rPr>
          <w:bCs/>
        </w:rPr>
        <w:t xml:space="preserve"> </w:t>
      </w:r>
      <w:r w:rsidR="002631A5">
        <w:t xml:space="preserve">të iniciuara kryesisht </w:t>
      </w:r>
      <w:r w:rsidR="002631A5" w:rsidRPr="00836AA4">
        <w:t>(</w:t>
      </w:r>
      <w:proofErr w:type="spellStart"/>
      <w:r w:rsidR="002631A5" w:rsidRPr="00546FFE">
        <w:rPr>
          <w:i/>
        </w:rPr>
        <w:t>ex-officio</w:t>
      </w:r>
      <w:proofErr w:type="spellEnd"/>
      <w:r w:rsidR="002631A5" w:rsidRPr="00836AA4">
        <w:t>)</w:t>
      </w:r>
      <w:r w:rsidR="002631A5">
        <w:t>,</w:t>
      </w:r>
      <w:r w:rsidR="002631A5" w:rsidRPr="00546FFE">
        <w:rPr>
          <w:bCs/>
        </w:rPr>
        <w:t xml:space="preserve"> </w:t>
      </w:r>
      <w:r>
        <w:t xml:space="preserve">në zbatim të </w:t>
      </w:r>
      <w:r w:rsidRPr="00F210BF">
        <w:rPr>
          <w:rFonts w:eastAsia="Calibri"/>
          <w:bCs/>
        </w:rPr>
        <w:t>ligjit nr.9887</w:t>
      </w:r>
      <w:r>
        <w:rPr>
          <w:rFonts w:eastAsia="Calibri"/>
          <w:bCs/>
        </w:rPr>
        <w:t>,</w:t>
      </w:r>
      <w:r w:rsidRPr="00F210BF">
        <w:rPr>
          <w:rFonts w:eastAsia="Calibri"/>
          <w:bCs/>
        </w:rPr>
        <w:t xml:space="preserve"> datë 10.03.2008 “Për mbrojtjen e të dhënave personale”,</w:t>
      </w:r>
      <w:r w:rsidRPr="00F210BF">
        <w:rPr>
          <w:rFonts w:eastAsia="Calibri"/>
          <w:bCs/>
          <w:i/>
        </w:rPr>
        <w:t xml:space="preserve"> </w:t>
      </w:r>
      <w:r w:rsidRPr="00F210BF">
        <w:rPr>
          <w:rFonts w:eastAsia="Calibri"/>
          <w:bCs/>
        </w:rPr>
        <w:t>i ndryshuar</w:t>
      </w:r>
      <w:r w:rsidR="00B51B57">
        <w:rPr>
          <w:rFonts w:eastAsia="Calibri"/>
          <w:bCs/>
        </w:rPr>
        <w:t>,</w:t>
      </w:r>
      <w:r w:rsidRPr="00F210BF">
        <w:rPr>
          <w:rFonts w:eastAsia="Calibri"/>
          <w:bCs/>
        </w:rPr>
        <w:t xml:space="preserve"> dhe akteve nënligjore të miratuara nga Komisioneri në lidhje me mbledhjen, përpunimin, ruajtjen dhe sigurinë e të dhënave personale. </w:t>
      </w:r>
    </w:p>
    <w:p w:rsidR="002631A5" w:rsidRDefault="002631A5" w:rsidP="007E124B">
      <w:pPr>
        <w:spacing w:line="276" w:lineRule="auto"/>
        <w:jc w:val="both"/>
        <w:rPr>
          <w:rFonts w:eastAsia="Batang"/>
        </w:rPr>
      </w:pPr>
    </w:p>
    <w:p w:rsidR="003E2368" w:rsidRPr="009A3375" w:rsidRDefault="003E2368" w:rsidP="007E124B">
      <w:pPr>
        <w:spacing w:line="276" w:lineRule="auto"/>
        <w:jc w:val="both"/>
      </w:pPr>
      <w:r w:rsidRPr="009A3375">
        <w:rPr>
          <w:rStyle w:val="hps"/>
        </w:rPr>
        <w:t xml:space="preserve">Në kuadër të së drejtës për mbrojtjen e të dhënave personale, Zyra e Komisionerit është angazhuar në monitorimin e përpunimeve të </w:t>
      </w:r>
      <w:proofErr w:type="spellStart"/>
      <w:r w:rsidRPr="009A3375">
        <w:rPr>
          <w:rStyle w:val="hps"/>
        </w:rPr>
        <w:t>të</w:t>
      </w:r>
      <w:proofErr w:type="spellEnd"/>
      <w:r w:rsidRPr="009A3375">
        <w:rPr>
          <w:rStyle w:val="hps"/>
        </w:rPr>
        <w:t xml:space="preserve"> dhënave personale dhe mbikëqyrjen e respektimit të masa</w:t>
      </w:r>
      <w:r w:rsidR="00DB4E43">
        <w:rPr>
          <w:rStyle w:val="hps"/>
        </w:rPr>
        <w:t>ve të sigurisë gjatë përpunimit</w:t>
      </w:r>
      <w:r w:rsidRPr="009A3375">
        <w:rPr>
          <w:rStyle w:val="hps"/>
        </w:rPr>
        <w:t xml:space="preserve"> të tyre, nga </w:t>
      </w:r>
      <w:r w:rsidR="00DB4E43">
        <w:rPr>
          <w:rStyle w:val="hps"/>
        </w:rPr>
        <w:t xml:space="preserve">kontrollues publik dhe privatë, </w:t>
      </w:r>
      <w:r w:rsidR="00DB4E43">
        <w:t>për</w:t>
      </w:r>
      <w:r w:rsidRPr="009A3375">
        <w:t xml:space="preserve"> garantimin e të drejtave të subjekteve të </w:t>
      </w:r>
      <w:proofErr w:type="spellStart"/>
      <w:r w:rsidRPr="009A3375">
        <w:t>të</w:t>
      </w:r>
      <w:proofErr w:type="spellEnd"/>
      <w:r w:rsidRPr="009A3375">
        <w:t xml:space="preserve"> dhënave dhe realizimin në praktikë të detyrimeve të kontrolluesve publikë dhe privatë</w:t>
      </w:r>
      <w:r w:rsidR="002631A5">
        <w:t>.</w:t>
      </w:r>
    </w:p>
    <w:p w:rsidR="00A026DB" w:rsidRPr="009A3375" w:rsidRDefault="00A026DB" w:rsidP="007E124B">
      <w:pPr>
        <w:spacing w:line="276" w:lineRule="auto"/>
        <w:jc w:val="both"/>
      </w:pPr>
    </w:p>
    <w:p w:rsidR="00936336" w:rsidRPr="009A3375" w:rsidRDefault="00936336" w:rsidP="007E124B">
      <w:pPr>
        <w:spacing w:line="276" w:lineRule="auto"/>
        <w:jc w:val="both"/>
        <w:rPr>
          <w:bCs/>
          <w:color w:val="000000" w:themeColor="text1"/>
        </w:rPr>
      </w:pPr>
      <w:r w:rsidRPr="009A3375">
        <w:rPr>
          <w:bCs/>
          <w:color w:val="000000" w:themeColor="text1"/>
        </w:rPr>
        <w:t xml:space="preserve">Gjatë </w:t>
      </w:r>
      <w:r w:rsidR="00DB4E43" w:rsidRPr="009A3375">
        <w:rPr>
          <w:bCs/>
          <w:color w:val="000000" w:themeColor="text1"/>
        </w:rPr>
        <w:t>periudhës</w:t>
      </w:r>
      <w:r w:rsidRPr="009A3375">
        <w:rPr>
          <w:bCs/>
          <w:color w:val="000000" w:themeColor="text1"/>
        </w:rPr>
        <w:t xml:space="preserve"> se raportimit, në zbatim të planit vjetor, Zyra e Komisionerit ka ushtruar në total </w:t>
      </w:r>
      <w:r w:rsidR="0008276B" w:rsidRPr="009A3375">
        <w:rPr>
          <w:b/>
          <w:bCs/>
          <w:color w:val="000000" w:themeColor="text1"/>
        </w:rPr>
        <w:t>45</w:t>
      </w:r>
      <w:r w:rsidRPr="009A3375">
        <w:rPr>
          <w:bCs/>
          <w:color w:val="000000" w:themeColor="text1"/>
        </w:rPr>
        <w:t xml:space="preserve"> hetime administrative,</w:t>
      </w:r>
      <w:r w:rsidRPr="009A3375">
        <w:rPr>
          <w:rFonts w:eastAsia="Calibri"/>
          <w:color w:val="000000" w:themeColor="text1"/>
        </w:rPr>
        <w:t xml:space="preserve"> kryesisht (</w:t>
      </w:r>
      <w:proofErr w:type="spellStart"/>
      <w:r w:rsidRPr="009A3375">
        <w:rPr>
          <w:rFonts w:eastAsia="Calibri"/>
          <w:i/>
          <w:color w:val="000000" w:themeColor="text1"/>
        </w:rPr>
        <w:t>ex-officio</w:t>
      </w:r>
      <w:proofErr w:type="spellEnd"/>
      <w:r w:rsidRPr="009A3375">
        <w:rPr>
          <w:rFonts w:eastAsia="Calibri"/>
          <w:color w:val="000000" w:themeColor="text1"/>
        </w:rPr>
        <w:t xml:space="preserve">), </w:t>
      </w:r>
      <w:r w:rsidRPr="009A3375">
        <w:rPr>
          <w:bCs/>
          <w:color w:val="000000" w:themeColor="text1"/>
        </w:rPr>
        <w:t xml:space="preserve"> </w:t>
      </w:r>
      <w:r w:rsidR="00D15261" w:rsidRPr="009A3375">
        <w:rPr>
          <w:b/>
          <w:bCs/>
          <w:color w:val="000000" w:themeColor="text1"/>
        </w:rPr>
        <w:t>3</w:t>
      </w:r>
      <w:r w:rsidR="0008276B" w:rsidRPr="009A3375">
        <w:rPr>
          <w:b/>
          <w:bCs/>
          <w:color w:val="000000" w:themeColor="text1"/>
        </w:rPr>
        <w:t>1</w:t>
      </w:r>
      <w:r w:rsidRPr="009A3375">
        <w:rPr>
          <w:b/>
          <w:bCs/>
          <w:color w:val="000000" w:themeColor="text1"/>
        </w:rPr>
        <w:t xml:space="preserve"> </w:t>
      </w:r>
      <w:r w:rsidRPr="009A3375">
        <w:rPr>
          <w:bCs/>
          <w:color w:val="000000" w:themeColor="text1"/>
        </w:rPr>
        <w:t xml:space="preserve">pranë kontrolluesve </w:t>
      </w:r>
      <w:r w:rsidR="0008276B" w:rsidRPr="009A3375">
        <w:rPr>
          <w:bCs/>
          <w:color w:val="000000" w:themeColor="text1"/>
        </w:rPr>
        <w:t xml:space="preserve">publikë  </w:t>
      </w:r>
      <w:r w:rsidRPr="009A3375">
        <w:rPr>
          <w:bCs/>
          <w:color w:val="000000" w:themeColor="text1"/>
        </w:rPr>
        <w:t xml:space="preserve">si dhe </w:t>
      </w:r>
      <w:r w:rsidR="0008276B" w:rsidRPr="009A3375">
        <w:rPr>
          <w:b/>
          <w:bCs/>
          <w:color w:val="000000" w:themeColor="text1"/>
        </w:rPr>
        <w:t>14</w:t>
      </w:r>
      <w:r w:rsidRPr="009A3375">
        <w:rPr>
          <w:b/>
          <w:bCs/>
          <w:color w:val="000000" w:themeColor="text1"/>
        </w:rPr>
        <w:t xml:space="preserve"> </w:t>
      </w:r>
      <w:r w:rsidR="00D15261" w:rsidRPr="009A3375">
        <w:rPr>
          <w:bCs/>
          <w:color w:val="000000" w:themeColor="text1"/>
        </w:rPr>
        <w:t xml:space="preserve">pranë </w:t>
      </w:r>
      <w:r w:rsidR="0008276B" w:rsidRPr="009A3375">
        <w:rPr>
          <w:bCs/>
          <w:color w:val="000000" w:themeColor="text1"/>
        </w:rPr>
        <w:t>Sektorit privat, por jan</w:t>
      </w:r>
      <w:r w:rsidR="00EA2A68">
        <w:rPr>
          <w:bCs/>
          <w:color w:val="000000" w:themeColor="text1"/>
        </w:rPr>
        <w:t>ë</w:t>
      </w:r>
      <w:r w:rsidR="0008276B" w:rsidRPr="009A3375">
        <w:rPr>
          <w:bCs/>
          <w:color w:val="000000" w:themeColor="text1"/>
        </w:rPr>
        <w:t xml:space="preserve"> kryer edhe </w:t>
      </w:r>
      <w:r w:rsidR="0008276B" w:rsidRPr="009A3375">
        <w:rPr>
          <w:b/>
          <w:bCs/>
          <w:color w:val="000000" w:themeColor="text1"/>
        </w:rPr>
        <w:t>26 inspektim</w:t>
      </w:r>
      <w:r w:rsidR="00DB4E43">
        <w:rPr>
          <w:bCs/>
          <w:color w:val="000000" w:themeColor="text1"/>
        </w:rPr>
        <w:t xml:space="preserve">e nga </w:t>
      </w:r>
      <w:r w:rsidR="0008276B" w:rsidRPr="009A3375">
        <w:rPr>
          <w:bCs/>
          <w:color w:val="000000" w:themeColor="text1"/>
        </w:rPr>
        <w:t xml:space="preserve">vet Zyra e Komisionerit.  </w:t>
      </w:r>
    </w:p>
    <w:p w:rsidR="00D15261" w:rsidRPr="009A3375" w:rsidRDefault="00DB4E43" w:rsidP="007E124B">
      <w:pPr>
        <w:spacing w:line="276" w:lineRule="auto"/>
        <w:jc w:val="both"/>
        <w:rPr>
          <w:iCs/>
          <w:color w:val="000000" w:themeColor="text1"/>
        </w:rPr>
      </w:pPr>
      <w:r>
        <w:rPr>
          <w:color w:val="000000" w:themeColor="text1"/>
        </w:rPr>
        <w:t xml:space="preserve">Në zbatim të Urdhrave </w:t>
      </w:r>
      <w:r w:rsidR="00D15261" w:rsidRPr="009A3375">
        <w:rPr>
          <w:color w:val="000000" w:themeColor="text1"/>
        </w:rPr>
        <w:t xml:space="preserve">(për kryerjen e hetimeve administrative) të Komisionerit, janë zhvilluar </w:t>
      </w:r>
      <w:r w:rsidR="0008276B" w:rsidRPr="009A3375">
        <w:rPr>
          <w:color w:val="000000" w:themeColor="text1"/>
        </w:rPr>
        <w:t xml:space="preserve">seanca </w:t>
      </w:r>
      <w:r w:rsidRPr="009A3375">
        <w:rPr>
          <w:color w:val="000000" w:themeColor="text1"/>
        </w:rPr>
        <w:t>dëgjimore</w:t>
      </w:r>
      <w:r w:rsidR="0008276B" w:rsidRPr="009A3375">
        <w:rPr>
          <w:color w:val="000000" w:themeColor="text1"/>
        </w:rPr>
        <w:t xml:space="preserve">, </w:t>
      </w:r>
      <w:r>
        <w:rPr>
          <w:color w:val="000000" w:themeColor="text1"/>
        </w:rPr>
        <w:t xml:space="preserve">në kuadër të ushtrimit të së drejtës së </w:t>
      </w:r>
      <w:r w:rsidR="00D15261" w:rsidRPr="009A3375">
        <w:rPr>
          <w:color w:val="000000" w:themeColor="text1"/>
        </w:rPr>
        <w:t xml:space="preserve">subjekteve të kontrolluara për t’u dëgjuar, në zbatim të neneve 87-89 të Ligjit nr. 44/2015 </w:t>
      </w:r>
      <w:r w:rsidR="00D15261" w:rsidRPr="009A3375">
        <w:rPr>
          <w:i/>
          <w:iCs/>
          <w:color w:val="000000" w:themeColor="text1"/>
        </w:rPr>
        <w:t>“</w:t>
      </w:r>
      <w:r w:rsidR="00D15261" w:rsidRPr="009A3375">
        <w:rPr>
          <w:iCs/>
          <w:color w:val="000000" w:themeColor="text1"/>
        </w:rPr>
        <w:t>Kodi i Procedurave Administrative të Republikës së Shqipërisë”.</w:t>
      </w:r>
    </w:p>
    <w:p w:rsidR="00D15261" w:rsidRPr="009A3375" w:rsidRDefault="00D15261" w:rsidP="007E124B">
      <w:pPr>
        <w:spacing w:line="276" w:lineRule="auto"/>
        <w:contextualSpacing/>
        <w:jc w:val="both"/>
        <w:rPr>
          <w:bCs/>
        </w:rPr>
      </w:pPr>
    </w:p>
    <w:p w:rsidR="00D15261" w:rsidRPr="009A3375" w:rsidRDefault="00D15261" w:rsidP="007E124B">
      <w:pPr>
        <w:spacing w:line="276" w:lineRule="auto"/>
        <w:contextualSpacing/>
        <w:jc w:val="both"/>
      </w:pPr>
      <w:r w:rsidRPr="009A3375">
        <w:rPr>
          <w:bCs/>
        </w:rPr>
        <w:t xml:space="preserve">Pas shqyrtimit të materialeve përkatëse administruar në dosje, në rastet ku janë konstatuar shkelje të ligjit, </w:t>
      </w:r>
      <w:r w:rsidR="00DB4E43" w:rsidRPr="009A3375">
        <w:t>janë</w:t>
      </w:r>
      <w:r w:rsidR="00DB4E43">
        <w:t xml:space="preserve"> zhvilluar</w:t>
      </w:r>
      <w:r w:rsidR="00DB4E43">
        <w:rPr>
          <w:b/>
        </w:rPr>
        <w:t xml:space="preserve"> </w:t>
      </w:r>
      <w:r w:rsidR="00DB4E43">
        <w:t>seanca</w:t>
      </w:r>
      <w:r w:rsidRPr="009A3375">
        <w:t xml:space="preserve"> dëgjimore.</w:t>
      </w:r>
      <w:r w:rsidRPr="009A3375">
        <w:rPr>
          <w:bCs/>
        </w:rPr>
        <w:t xml:space="preserve"> Seancat dëgjimore zhvillohen pasi </w:t>
      </w:r>
      <w:r w:rsidRPr="009A3375">
        <w:rPr>
          <w:bCs/>
        </w:rPr>
        <w:lastRenderedPageBreak/>
        <w:t xml:space="preserve">kontrolluesit janë njoftuar paraprakisht dhe në respektim të </w:t>
      </w:r>
      <w:proofErr w:type="spellStart"/>
      <w:r w:rsidRPr="009A3375">
        <w:rPr>
          <w:bCs/>
        </w:rPr>
        <w:t>t</w:t>
      </w:r>
      <w:r w:rsidR="00DB4E43">
        <w:rPr>
          <w:bCs/>
        </w:rPr>
        <w:t>ë</w:t>
      </w:r>
      <w:proofErr w:type="spellEnd"/>
      <w:r w:rsidR="00DB4E43">
        <w:rPr>
          <w:bCs/>
        </w:rPr>
        <w:t xml:space="preserve"> drejtës së subjekteve për t’u dëgjuar, në zbatim të </w:t>
      </w:r>
      <w:r w:rsidRPr="009A3375">
        <w:rPr>
          <w:bCs/>
        </w:rPr>
        <w:t>ligjit nr.44/2015</w:t>
      </w:r>
      <w:r w:rsidRPr="009A3375">
        <w:t xml:space="preserve"> “Ko</w:t>
      </w:r>
      <w:r w:rsidR="00DB4E43">
        <w:t xml:space="preserve">di i Procedurave Administrative </w:t>
      </w:r>
      <w:r w:rsidRPr="009A3375">
        <w:t xml:space="preserve">të Republikës së Shqipërisë”, përpara marrjes së vendimit përfundimtar. </w:t>
      </w:r>
    </w:p>
    <w:p w:rsidR="00D15261" w:rsidRPr="009A3375" w:rsidRDefault="00D15261" w:rsidP="007E124B">
      <w:pPr>
        <w:spacing w:line="276" w:lineRule="auto"/>
        <w:jc w:val="both"/>
        <w:rPr>
          <w:iCs/>
          <w:color w:val="000000" w:themeColor="text1"/>
        </w:rPr>
      </w:pPr>
    </w:p>
    <w:p w:rsidR="00936336" w:rsidRPr="00DB4E43" w:rsidRDefault="00936336" w:rsidP="007E124B">
      <w:pPr>
        <w:numPr>
          <w:ilvl w:val="0"/>
          <w:numId w:val="41"/>
        </w:numPr>
        <w:spacing w:line="276" w:lineRule="auto"/>
        <w:jc w:val="both"/>
        <w:rPr>
          <w:b/>
          <w:bCs/>
          <w:color w:val="000000" w:themeColor="text1"/>
        </w:rPr>
      </w:pPr>
      <w:r w:rsidRPr="00DB4E43">
        <w:rPr>
          <w:b/>
          <w:color w:val="000000" w:themeColor="text1"/>
        </w:rPr>
        <w:t>Rekomandime/Vendime gjobe</w:t>
      </w:r>
    </w:p>
    <w:p w:rsidR="00936336" w:rsidRPr="009A3375" w:rsidRDefault="00936336" w:rsidP="007E124B">
      <w:pPr>
        <w:spacing w:line="276" w:lineRule="auto"/>
        <w:jc w:val="both"/>
        <w:rPr>
          <w:b/>
          <w:bCs/>
          <w:i/>
          <w:color w:val="000000" w:themeColor="text1"/>
        </w:rPr>
      </w:pPr>
    </w:p>
    <w:p w:rsidR="003E2368" w:rsidRPr="009A3375" w:rsidRDefault="00936336" w:rsidP="007E124B">
      <w:pPr>
        <w:spacing w:line="276" w:lineRule="auto"/>
        <w:jc w:val="both"/>
      </w:pPr>
      <w:r w:rsidRPr="009A3375">
        <w:rPr>
          <w:bCs/>
          <w:color w:val="000000" w:themeColor="text1"/>
        </w:rPr>
        <w:t xml:space="preserve">Zyra e Komisionerit ka dalë me </w:t>
      </w:r>
      <w:r w:rsidR="0008276B" w:rsidRPr="009A3375">
        <w:rPr>
          <w:b/>
          <w:bCs/>
          <w:color w:val="000000" w:themeColor="text1"/>
        </w:rPr>
        <w:t>26</w:t>
      </w:r>
      <w:r w:rsidRPr="009A3375">
        <w:rPr>
          <w:b/>
          <w:bCs/>
          <w:color w:val="000000" w:themeColor="text1"/>
        </w:rPr>
        <w:t xml:space="preserve"> </w:t>
      </w:r>
      <w:r w:rsidRPr="009A3375">
        <w:rPr>
          <w:bCs/>
          <w:color w:val="000000" w:themeColor="text1"/>
        </w:rPr>
        <w:t>rekomandim</w:t>
      </w:r>
      <w:r w:rsidR="00D15261" w:rsidRPr="009A3375">
        <w:rPr>
          <w:bCs/>
          <w:color w:val="000000" w:themeColor="text1"/>
        </w:rPr>
        <w:t>e</w:t>
      </w:r>
      <w:r w:rsidR="0008276B" w:rsidRPr="009A3375">
        <w:rPr>
          <w:bCs/>
          <w:color w:val="000000" w:themeColor="text1"/>
        </w:rPr>
        <w:t xml:space="preserve"> për kontrolluesit publike dhe privatë</w:t>
      </w:r>
      <w:r w:rsidR="00D15261" w:rsidRPr="009A3375">
        <w:rPr>
          <w:bCs/>
          <w:color w:val="000000" w:themeColor="text1"/>
        </w:rPr>
        <w:t>,</w:t>
      </w:r>
      <w:r w:rsidR="0008276B" w:rsidRPr="009A3375">
        <w:rPr>
          <w:bCs/>
          <w:color w:val="000000" w:themeColor="text1"/>
        </w:rPr>
        <w:t xml:space="preserve"> </w:t>
      </w:r>
      <w:r w:rsidR="00DB4E43" w:rsidRPr="009A3375">
        <w:rPr>
          <w:bCs/>
          <w:color w:val="000000" w:themeColor="text1"/>
        </w:rPr>
        <w:t>nëpërmjet</w:t>
      </w:r>
      <w:r w:rsidR="0008276B" w:rsidRPr="009A3375">
        <w:rPr>
          <w:bCs/>
          <w:color w:val="000000" w:themeColor="text1"/>
        </w:rPr>
        <w:t xml:space="preserve"> te cilave </w:t>
      </w:r>
      <w:r w:rsidR="00DB4E43" w:rsidRPr="009A3375">
        <w:rPr>
          <w:bCs/>
          <w:color w:val="000000" w:themeColor="text1"/>
        </w:rPr>
        <w:t>është</w:t>
      </w:r>
      <w:r w:rsidR="00DB4E43">
        <w:rPr>
          <w:bCs/>
          <w:color w:val="000000" w:themeColor="text1"/>
        </w:rPr>
        <w:t xml:space="preserve"> synuar të</w:t>
      </w:r>
      <w:r w:rsidR="0008276B" w:rsidRPr="009A3375">
        <w:rPr>
          <w:bCs/>
          <w:color w:val="000000" w:themeColor="text1"/>
        </w:rPr>
        <w:t xml:space="preserve"> </w:t>
      </w:r>
      <w:r w:rsidR="00DB4E43" w:rsidRPr="009A3375">
        <w:rPr>
          <w:bCs/>
          <w:color w:val="000000" w:themeColor="text1"/>
        </w:rPr>
        <w:t>ndërgjegjësohet</w:t>
      </w:r>
      <w:r w:rsidR="0008276B" w:rsidRPr="009A3375">
        <w:rPr>
          <w:bCs/>
          <w:color w:val="000000" w:themeColor="text1"/>
        </w:rPr>
        <w:t xml:space="preserve"> </w:t>
      </w:r>
      <w:r w:rsidR="00DB4E43" w:rsidRPr="009A3375">
        <w:rPr>
          <w:bCs/>
          <w:color w:val="000000" w:themeColor="text1"/>
        </w:rPr>
        <w:t>çdo</w:t>
      </w:r>
      <w:r w:rsidR="0008276B" w:rsidRPr="009A3375">
        <w:rPr>
          <w:bCs/>
          <w:color w:val="000000" w:themeColor="text1"/>
        </w:rPr>
        <w:t xml:space="preserve"> kontrollues i te </w:t>
      </w:r>
      <w:r w:rsidR="00DB4E43" w:rsidRPr="009A3375">
        <w:rPr>
          <w:bCs/>
          <w:color w:val="000000" w:themeColor="text1"/>
        </w:rPr>
        <w:t>dhënave</w:t>
      </w:r>
      <w:r w:rsidR="0008276B" w:rsidRPr="009A3375">
        <w:rPr>
          <w:bCs/>
          <w:color w:val="000000" w:themeColor="text1"/>
        </w:rPr>
        <w:t xml:space="preserve"> </w:t>
      </w:r>
      <w:r w:rsidR="00DB4E43" w:rsidRPr="009A3375">
        <w:rPr>
          <w:bCs/>
          <w:color w:val="000000" w:themeColor="text1"/>
        </w:rPr>
        <w:t>për</w:t>
      </w:r>
      <w:r w:rsidR="0008276B" w:rsidRPr="009A3375">
        <w:rPr>
          <w:bCs/>
          <w:color w:val="000000" w:themeColor="text1"/>
        </w:rPr>
        <w:t xml:space="preserve"> te kryer </w:t>
      </w:r>
      <w:r w:rsidR="00DB4E43" w:rsidRPr="009A3375">
        <w:rPr>
          <w:bCs/>
          <w:color w:val="000000" w:themeColor="text1"/>
        </w:rPr>
        <w:t>përpunime</w:t>
      </w:r>
      <w:r w:rsidR="00DB4E43">
        <w:rPr>
          <w:bCs/>
          <w:color w:val="000000" w:themeColor="text1"/>
        </w:rPr>
        <w:t xml:space="preserve"> në</w:t>
      </w:r>
      <w:r w:rsidR="0008276B" w:rsidRPr="009A3375">
        <w:rPr>
          <w:bCs/>
          <w:color w:val="000000" w:themeColor="text1"/>
        </w:rPr>
        <w:t xml:space="preserve"> </w:t>
      </w:r>
      <w:r w:rsidR="00DB4E43" w:rsidRPr="009A3375">
        <w:rPr>
          <w:bCs/>
          <w:color w:val="000000" w:themeColor="text1"/>
        </w:rPr>
        <w:t>mënyre</w:t>
      </w:r>
      <w:r w:rsidR="0008276B" w:rsidRPr="009A3375">
        <w:rPr>
          <w:bCs/>
          <w:color w:val="000000" w:themeColor="text1"/>
        </w:rPr>
        <w:t xml:space="preserve"> te drejte dhe te ligjshme, pa cenuar </w:t>
      </w:r>
      <w:r w:rsidR="00DB4E43" w:rsidRPr="009A3375">
        <w:rPr>
          <w:bCs/>
          <w:color w:val="000000" w:themeColor="text1"/>
        </w:rPr>
        <w:t>privatësinë</w:t>
      </w:r>
      <w:r w:rsidR="0008276B" w:rsidRPr="009A3375">
        <w:rPr>
          <w:bCs/>
          <w:color w:val="000000" w:themeColor="text1"/>
        </w:rPr>
        <w:t xml:space="preserve"> e individit. </w:t>
      </w:r>
      <w:r w:rsidR="00D15261" w:rsidRPr="009A3375">
        <w:rPr>
          <w:bCs/>
          <w:color w:val="000000" w:themeColor="text1"/>
        </w:rPr>
        <w:t xml:space="preserve"> </w:t>
      </w:r>
      <w:r w:rsidR="0008276B" w:rsidRPr="009A3375">
        <w:rPr>
          <w:bCs/>
          <w:color w:val="000000" w:themeColor="text1"/>
        </w:rPr>
        <w:t xml:space="preserve">Ne mbyllje </w:t>
      </w:r>
      <w:r w:rsidR="00DB4E43" w:rsidRPr="009A3375">
        <w:rPr>
          <w:bCs/>
          <w:color w:val="000000" w:themeColor="text1"/>
        </w:rPr>
        <w:t>proceseve</w:t>
      </w:r>
      <w:r w:rsidR="0008276B" w:rsidRPr="009A3375">
        <w:rPr>
          <w:bCs/>
          <w:color w:val="000000" w:themeColor="text1"/>
        </w:rPr>
        <w:t xml:space="preserve"> hetimore, Zyra e Komisionerit ka dale me </w:t>
      </w:r>
      <w:r w:rsidR="00C2423E" w:rsidRPr="009A3375">
        <w:rPr>
          <w:b/>
          <w:color w:val="000000" w:themeColor="text1"/>
        </w:rPr>
        <w:t>2</w:t>
      </w:r>
      <w:r w:rsidR="00D15261" w:rsidRPr="009A3375">
        <w:rPr>
          <w:color w:val="000000" w:themeColor="text1"/>
        </w:rPr>
        <w:t xml:space="preserve"> Vendim</w:t>
      </w:r>
      <w:r w:rsidR="00861E98" w:rsidRPr="009A3375">
        <w:rPr>
          <w:color w:val="000000" w:themeColor="text1"/>
        </w:rPr>
        <w:t>e</w:t>
      </w:r>
      <w:r w:rsidR="00D15261" w:rsidRPr="009A3375">
        <w:rPr>
          <w:color w:val="000000" w:themeColor="text1"/>
        </w:rPr>
        <w:t xml:space="preserve"> për </w:t>
      </w:r>
      <w:r w:rsidR="0008276B" w:rsidRPr="009A3375">
        <w:rPr>
          <w:color w:val="000000" w:themeColor="text1"/>
        </w:rPr>
        <w:t>gjoba</w:t>
      </w:r>
      <w:r w:rsidR="00D15261" w:rsidRPr="009A3375">
        <w:rPr>
          <w:color w:val="000000" w:themeColor="text1"/>
        </w:rPr>
        <w:t xml:space="preserve">, </w:t>
      </w:r>
      <w:r w:rsidR="0008276B" w:rsidRPr="009A3375">
        <w:t xml:space="preserve">te cilat </w:t>
      </w:r>
      <w:r w:rsidR="00DB4E43" w:rsidRPr="009A3375">
        <w:t>korrespondojnë</w:t>
      </w:r>
      <w:r w:rsidR="0008276B" w:rsidRPr="009A3375">
        <w:t xml:space="preserve"> me </w:t>
      </w:r>
      <w:r w:rsidR="0008276B" w:rsidRPr="009A3375">
        <w:rPr>
          <w:b/>
        </w:rPr>
        <w:t>6</w:t>
      </w:r>
      <w:r w:rsidR="00D15261" w:rsidRPr="009A3375">
        <w:rPr>
          <w:b/>
        </w:rPr>
        <w:t xml:space="preserve"> </w:t>
      </w:r>
      <w:r w:rsidR="00D15261" w:rsidRPr="009A3375">
        <w:t>sanksione administrative.</w:t>
      </w:r>
    </w:p>
    <w:p w:rsidR="00861E98" w:rsidRPr="009A3375" w:rsidRDefault="00861E98" w:rsidP="007E124B">
      <w:pPr>
        <w:spacing w:line="276" w:lineRule="auto"/>
        <w:jc w:val="both"/>
      </w:pPr>
    </w:p>
    <w:p w:rsidR="00A448AE" w:rsidRPr="009A3375" w:rsidRDefault="00A448AE" w:rsidP="007E124B">
      <w:pPr>
        <w:spacing w:line="276" w:lineRule="auto"/>
        <w:jc w:val="both"/>
      </w:pPr>
      <w:r w:rsidRPr="009A3375">
        <w:rPr>
          <w:b/>
        </w:rPr>
        <w:t xml:space="preserve">Produkti C:  </w:t>
      </w:r>
      <w:r w:rsidR="0008276B" w:rsidRPr="009A3375">
        <w:rPr>
          <w:b/>
        </w:rPr>
        <w:t>71</w:t>
      </w:r>
      <w:r w:rsidRPr="009A3375">
        <w:rPr>
          <w:b/>
        </w:rPr>
        <w:t xml:space="preserve"> (inspektime mbi baze ankese dhe kryesisht) </w:t>
      </w:r>
      <w:r w:rsidR="00DB4E43">
        <w:t>pa përfshirë veprime të</w:t>
      </w:r>
      <w:r w:rsidRPr="009A3375">
        <w:t xml:space="preserve"> tjera vendime, re</w:t>
      </w:r>
      <w:r w:rsidR="00DB4E43">
        <w:t>komandime, sanksione, urdhërime.</w:t>
      </w:r>
    </w:p>
    <w:p w:rsidR="003E2368" w:rsidRPr="009A3375" w:rsidRDefault="003E2368" w:rsidP="007E124B">
      <w:pPr>
        <w:pStyle w:val="BodyText"/>
        <w:spacing w:after="0" w:line="276" w:lineRule="auto"/>
        <w:jc w:val="both"/>
      </w:pPr>
    </w:p>
    <w:p w:rsidR="003E2368" w:rsidRPr="009A3375" w:rsidRDefault="00DB4E43" w:rsidP="007E124B">
      <w:pPr>
        <w:pStyle w:val="ListParagraph"/>
        <w:numPr>
          <w:ilvl w:val="0"/>
          <w:numId w:val="29"/>
        </w:numPr>
        <w:jc w:val="both"/>
        <w:rPr>
          <w:rFonts w:ascii="Times New Roman" w:hAnsi="Times New Roman"/>
          <w:b/>
          <w:sz w:val="24"/>
          <w:szCs w:val="24"/>
        </w:rPr>
      </w:pPr>
      <w:r w:rsidRPr="009A3375">
        <w:rPr>
          <w:rFonts w:ascii="Times New Roman" w:hAnsi="Times New Roman"/>
          <w:b/>
          <w:sz w:val="24"/>
          <w:szCs w:val="24"/>
        </w:rPr>
        <w:t>Nënprodukti</w:t>
      </w:r>
      <w:r w:rsidR="00A448AE" w:rsidRPr="009A3375">
        <w:rPr>
          <w:rFonts w:ascii="Times New Roman" w:hAnsi="Times New Roman"/>
          <w:b/>
          <w:sz w:val="24"/>
          <w:szCs w:val="24"/>
        </w:rPr>
        <w:t xml:space="preserve">  </w:t>
      </w:r>
      <w:r w:rsidR="003E2368" w:rsidRPr="009A3375">
        <w:rPr>
          <w:rFonts w:ascii="Times New Roman" w:hAnsi="Times New Roman"/>
          <w:b/>
          <w:sz w:val="24"/>
          <w:szCs w:val="24"/>
        </w:rPr>
        <w:t>Ankesa të trajtuara</w:t>
      </w:r>
      <w:r w:rsidR="00C2423E" w:rsidRPr="009A3375">
        <w:rPr>
          <w:rFonts w:ascii="Times New Roman" w:hAnsi="Times New Roman"/>
          <w:b/>
          <w:sz w:val="24"/>
          <w:szCs w:val="24"/>
        </w:rPr>
        <w:t xml:space="preserve"> ( nr.</w:t>
      </w:r>
      <w:r>
        <w:rPr>
          <w:rFonts w:ascii="Times New Roman" w:hAnsi="Times New Roman"/>
          <w:b/>
          <w:sz w:val="24"/>
          <w:szCs w:val="24"/>
        </w:rPr>
        <w:t xml:space="preserve"> </w:t>
      </w:r>
      <w:r w:rsidR="00D35561">
        <w:rPr>
          <w:rFonts w:ascii="Times New Roman" w:hAnsi="Times New Roman"/>
          <w:b/>
          <w:sz w:val="24"/>
          <w:szCs w:val="24"/>
        </w:rPr>
        <w:t>rreth +- 250</w:t>
      </w:r>
      <w:r w:rsidR="00C2423E" w:rsidRPr="009A3375">
        <w:rPr>
          <w:rFonts w:ascii="Times New Roman" w:hAnsi="Times New Roman"/>
          <w:b/>
          <w:sz w:val="24"/>
          <w:szCs w:val="24"/>
        </w:rPr>
        <w:t xml:space="preserve"> ) </w:t>
      </w:r>
    </w:p>
    <w:p w:rsidR="003E2368" w:rsidRPr="009A3375" w:rsidRDefault="00C2423E" w:rsidP="007E124B">
      <w:pPr>
        <w:spacing w:line="276" w:lineRule="auto"/>
        <w:jc w:val="both"/>
      </w:pPr>
      <w:r w:rsidRPr="009A3375">
        <w:rPr>
          <w:rFonts w:eastAsia="Batang"/>
        </w:rPr>
        <w:t xml:space="preserve">Për realizimin e </w:t>
      </w:r>
      <w:r w:rsidR="00DB4E43" w:rsidRPr="009A3375">
        <w:rPr>
          <w:rFonts w:eastAsia="Batang"/>
        </w:rPr>
        <w:t>këtij</w:t>
      </w:r>
      <w:r w:rsidRPr="009A3375">
        <w:rPr>
          <w:rFonts w:eastAsia="Batang"/>
        </w:rPr>
        <w:t xml:space="preserve"> produkti ndërmerren një serë veprimtarish</w:t>
      </w:r>
      <w:r w:rsidRPr="009A3375">
        <w:rPr>
          <w:rFonts w:eastAsia="Batang"/>
          <w:b/>
        </w:rPr>
        <w:t xml:space="preserve"> </w:t>
      </w:r>
      <w:r w:rsidRPr="009A3375">
        <w:rPr>
          <w:rFonts w:eastAsia="Batang"/>
        </w:rPr>
        <w:t xml:space="preserve">të cilat përfshijnë </w:t>
      </w:r>
      <w:r w:rsidRPr="009A3375">
        <w:t>t</w:t>
      </w:r>
      <w:r w:rsidR="003E2368" w:rsidRPr="009A3375">
        <w:t>rajtimi</w:t>
      </w:r>
      <w:r w:rsidR="00DB4E43">
        <w:t>n në kohë të</w:t>
      </w:r>
      <w:r w:rsidR="003E2368" w:rsidRPr="009A3375">
        <w:t xml:space="preserve"> ankesave të cilat kanë të bëjnë jo vetëm mbi bazën e shkeljeve të ligjit për </w:t>
      </w:r>
      <w:r w:rsidR="00DB4E43">
        <w:t>mbrojtjen</w:t>
      </w:r>
      <w:r w:rsidR="003E2368" w:rsidRPr="009A3375">
        <w:t xml:space="preserve"> e të dhënave, seanca dëgjimore të zhvilluara si dhe vendimet e dhëna, duke rritur në këtë mënyrë kontrollin mbi veprimtarinë e kontrolluesve publikë e privatë</w:t>
      </w:r>
      <w:r w:rsidRPr="009A3375">
        <w:t xml:space="preserve">. </w:t>
      </w:r>
    </w:p>
    <w:p w:rsidR="00D15261" w:rsidRPr="009A3375" w:rsidRDefault="003433CE" w:rsidP="007E124B">
      <w:pPr>
        <w:pStyle w:val="NoSpacing"/>
        <w:spacing w:line="276" w:lineRule="auto"/>
        <w:jc w:val="both"/>
        <w:rPr>
          <w:rFonts w:ascii="Times New Roman" w:hAnsi="Times New Roman"/>
          <w:sz w:val="24"/>
          <w:szCs w:val="24"/>
        </w:rPr>
      </w:pPr>
      <w:r w:rsidRPr="009A3375">
        <w:rPr>
          <w:rFonts w:ascii="Times New Roman" w:hAnsi="Times New Roman"/>
          <w:sz w:val="24"/>
          <w:szCs w:val="24"/>
        </w:rPr>
        <w:t xml:space="preserve">Gjatë </w:t>
      </w:r>
      <w:r w:rsidR="00D538B7" w:rsidRPr="009A3375">
        <w:rPr>
          <w:rFonts w:ascii="Times New Roman" w:hAnsi="Times New Roman"/>
          <w:sz w:val="24"/>
          <w:szCs w:val="24"/>
        </w:rPr>
        <w:t>periudh</w:t>
      </w:r>
      <w:r w:rsidR="00861E98" w:rsidRPr="009A3375">
        <w:rPr>
          <w:rFonts w:ascii="Times New Roman" w:hAnsi="Times New Roman"/>
          <w:sz w:val="24"/>
          <w:szCs w:val="24"/>
        </w:rPr>
        <w:t>ë</w:t>
      </w:r>
      <w:r w:rsidR="00D538B7" w:rsidRPr="009A3375">
        <w:rPr>
          <w:rFonts w:ascii="Times New Roman" w:hAnsi="Times New Roman"/>
          <w:sz w:val="24"/>
          <w:szCs w:val="24"/>
        </w:rPr>
        <w:t xml:space="preserve">s 4 mujore janë trajtuar </w:t>
      </w:r>
      <w:r w:rsidR="0008276B" w:rsidRPr="009A3375">
        <w:rPr>
          <w:rFonts w:ascii="Times New Roman" w:hAnsi="Times New Roman"/>
          <w:b/>
          <w:sz w:val="24"/>
          <w:szCs w:val="24"/>
        </w:rPr>
        <w:t>75</w:t>
      </w:r>
      <w:r w:rsidR="00D538B7" w:rsidRPr="009A3375">
        <w:rPr>
          <w:rFonts w:ascii="Times New Roman" w:hAnsi="Times New Roman"/>
          <w:sz w:val="24"/>
          <w:szCs w:val="24"/>
        </w:rPr>
        <w:t xml:space="preserve"> ankesa që kanë rezultuar në përputhje me ligjin për mb</w:t>
      </w:r>
      <w:r w:rsidR="00861E98" w:rsidRPr="009A3375">
        <w:rPr>
          <w:rFonts w:ascii="Times New Roman" w:hAnsi="Times New Roman"/>
          <w:sz w:val="24"/>
          <w:szCs w:val="24"/>
        </w:rPr>
        <w:t xml:space="preserve">rojtjen e të dhënave personale, për një pjesë të të cilave është ushtruar inspektimi, </w:t>
      </w:r>
      <w:r w:rsidR="00D15261" w:rsidRPr="009A3375">
        <w:rPr>
          <w:rFonts w:ascii="Times New Roman" w:hAnsi="Times New Roman"/>
          <w:sz w:val="24"/>
          <w:szCs w:val="24"/>
        </w:rPr>
        <w:t>në kontrollues privat në kuadër të verifikimit të ligjshmërisë së përpunimit të të dhënave personale në zbatim të ligjit nr. 9887, datë 10.03.2008 “Për mbrojtjen e të dhënave personale” i ndryshuar.</w:t>
      </w:r>
    </w:p>
    <w:p w:rsidR="00A448AE" w:rsidRPr="009A3375" w:rsidRDefault="00A448AE" w:rsidP="007E124B">
      <w:pPr>
        <w:pStyle w:val="NoSpacing"/>
        <w:spacing w:line="276" w:lineRule="auto"/>
        <w:jc w:val="both"/>
        <w:rPr>
          <w:rFonts w:ascii="Times New Roman" w:hAnsi="Times New Roman"/>
          <w:sz w:val="24"/>
          <w:szCs w:val="24"/>
        </w:rPr>
      </w:pPr>
    </w:p>
    <w:p w:rsidR="00A448AE" w:rsidRPr="009A3375" w:rsidRDefault="00A448AE" w:rsidP="007E124B">
      <w:pPr>
        <w:spacing w:line="276" w:lineRule="auto"/>
        <w:jc w:val="both"/>
      </w:pPr>
      <w:r w:rsidRPr="009A3375">
        <w:rPr>
          <w:b/>
        </w:rPr>
        <w:t xml:space="preserve">Produkti : </w:t>
      </w:r>
      <w:r w:rsidR="0008276B" w:rsidRPr="009A3375">
        <w:rPr>
          <w:b/>
        </w:rPr>
        <w:t>75</w:t>
      </w:r>
      <w:r w:rsidRPr="009A3375">
        <w:rPr>
          <w:b/>
        </w:rPr>
        <w:t xml:space="preserve"> (ankesa) </w:t>
      </w:r>
      <w:r w:rsidRPr="009A3375">
        <w:t xml:space="preserve">pa përfshirë vendime, rekomandime) </w:t>
      </w:r>
    </w:p>
    <w:p w:rsidR="00C40CA7" w:rsidRPr="009A3375" w:rsidRDefault="00C40CA7" w:rsidP="007E124B">
      <w:pPr>
        <w:pStyle w:val="ListParagraph"/>
        <w:spacing w:before="240"/>
        <w:ind w:left="0"/>
        <w:jc w:val="both"/>
        <w:rPr>
          <w:rFonts w:ascii="Times New Roman" w:hAnsi="Times New Roman"/>
          <w:sz w:val="24"/>
          <w:szCs w:val="24"/>
          <w:lang w:val="de-DE"/>
        </w:rPr>
      </w:pPr>
      <w:r w:rsidRPr="009A3375">
        <w:rPr>
          <w:rFonts w:ascii="Times New Roman" w:hAnsi="Times New Roman"/>
          <w:sz w:val="24"/>
          <w:szCs w:val="24"/>
          <w:lang w:val="de-DE"/>
        </w:rPr>
        <w:t xml:space="preserve">Në përmbushje të detyrimit </w:t>
      </w:r>
      <w:r w:rsidR="00DB4E43">
        <w:rPr>
          <w:rFonts w:ascii="Times New Roman" w:hAnsi="Times New Roman"/>
          <w:sz w:val="24"/>
          <w:szCs w:val="24"/>
          <w:lang w:val="de-DE"/>
        </w:rPr>
        <w:t>ligjor për të njoftuar, gjatë 4</w:t>
      </w:r>
      <w:r w:rsidR="00861E98" w:rsidRPr="009A3375">
        <w:rPr>
          <w:rFonts w:ascii="Times New Roman" w:hAnsi="Times New Roman"/>
          <w:sz w:val="24"/>
          <w:szCs w:val="24"/>
          <w:lang w:val="de-DE"/>
        </w:rPr>
        <w:t xml:space="preserve"> </w:t>
      </w:r>
      <w:r w:rsidRPr="009A3375">
        <w:rPr>
          <w:rFonts w:ascii="Times New Roman" w:hAnsi="Times New Roman"/>
          <w:sz w:val="24"/>
          <w:szCs w:val="24"/>
          <w:lang w:val="de-DE"/>
        </w:rPr>
        <w:t xml:space="preserve">mujorit të parë të këtij viti  pranë Zyrës së Komisionerit kanë njoftuar </w:t>
      </w:r>
      <w:r w:rsidRPr="009A3375">
        <w:rPr>
          <w:rFonts w:ascii="Times New Roman" w:hAnsi="Times New Roman"/>
          <w:b/>
          <w:sz w:val="24"/>
          <w:szCs w:val="24"/>
          <w:lang w:val="de-DE"/>
        </w:rPr>
        <w:t>5</w:t>
      </w:r>
      <w:r w:rsidR="00C9054B" w:rsidRPr="009A3375">
        <w:rPr>
          <w:rFonts w:ascii="Times New Roman" w:hAnsi="Times New Roman"/>
          <w:b/>
          <w:sz w:val="24"/>
          <w:szCs w:val="24"/>
          <w:lang w:val="de-DE"/>
        </w:rPr>
        <w:t>9</w:t>
      </w:r>
      <w:r w:rsidR="00861E98" w:rsidRPr="009A3375">
        <w:rPr>
          <w:rFonts w:ascii="Times New Roman" w:hAnsi="Times New Roman"/>
          <w:b/>
          <w:sz w:val="24"/>
          <w:szCs w:val="24"/>
          <w:lang w:val="de-DE"/>
        </w:rPr>
        <w:t xml:space="preserve"> </w:t>
      </w:r>
      <w:r w:rsidRPr="009A3375">
        <w:rPr>
          <w:rFonts w:ascii="Times New Roman" w:hAnsi="Times New Roman"/>
          <w:sz w:val="24"/>
          <w:szCs w:val="24"/>
          <w:lang w:val="de-DE"/>
        </w:rPr>
        <w:t>kontrollues.</w:t>
      </w:r>
    </w:p>
    <w:p w:rsidR="00861E98" w:rsidRPr="009A3375" w:rsidRDefault="00861E98" w:rsidP="007E124B">
      <w:pPr>
        <w:pStyle w:val="ListParagraph"/>
        <w:spacing w:before="240"/>
        <w:ind w:left="0"/>
        <w:jc w:val="both"/>
        <w:rPr>
          <w:rFonts w:ascii="Times New Roman" w:hAnsi="Times New Roman"/>
          <w:sz w:val="24"/>
          <w:szCs w:val="24"/>
          <w:lang w:val="de-DE"/>
        </w:rPr>
      </w:pPr>
    </w:p>
    <w:p w:rsidR="00DD7639" w:rsidRDefault="00C40CA7" w:rsidP="007E124B">
      <w:pPr>
        <w:pStyle w:val="ListParagraph"/>
        <w:spacing w:after="240"/>
        <w:ind w:left="0"/>
        <w:contextualSpacing w:val="0"/>
        <w:jc w:val="both"/>
        <w:rPr>
          <w:rFonts w:ascii="Times New Roman" w:hAnsi="Times New Roman"/>
          <w:sz w:val="24"/>
          <w:szCs w:val="24"/>
          <w:lang w:eastAsia="fr-FR"/>
        </w:rPr>
      </w:pPr>
      <w:r w:rsidRPr="009A3375">
        <w:rPr>
          <w:rFonts w:ascii="Times New Roman" w:hAnsi="Times New Roman"/>
          <w:sz w:val="24"/>
          <w:szCs w:val="24"/>
          <w:lang w:eastAsia="fr-FR"/>
        </w:rPr>
        <w:t xml:space="preserve">Numri i përgjithshëm i njoftimeve të përpunimeve nga kontrolluesit deri tani ka arritur në </w:t>
      </w:r>
      <w:r w:rsidR="00C9054B" w:rsidRPr="009A3375">
        <w:rPr>
          <w:rFonts w:ascii="Times New Roman" w:hAnsi="Times New Roman"/>
          <w:b/>
          <w:sz w:val="24"/>
          <w:szCs w:val="24"/>
          <w:lang w:eastAsia="fr-FR"/>
        </w:rPr>
        <w:t>5</w:t>
      </w:r>
      <w:r w:rsidR="00DD7639" w:rsidRPr="009A3375">
        <w:rPr>
          <w:rFonts w:ascii="Times New Roman" w:hAnsi="Times New Roman"/>
          <w:b/>
          <w:sz w:val="24"/>
          <w:szCs w:val="24"/>
          <w:lang w:eastAsia="fr-FR"/>
        </w:rPr>
        <w:t>576</w:t>
      </w:r>
      <w:r w:rsidRPr="009A3375">
        <w:rPr>
          <w:rFonts w:ascii="Times New Roman" w:hAnsi="Times New Roman"/>
          <w:b/>
          <w:sz w:val="24"/>
          <w:szCs w:val="24"/>
          <w:lang w:eastAsia="fr-FR"/>
        </w:rPr>
        <w:t>.</w:t>
      </w:r>
      <w:r w:rsidR="00C9054B" w:rsidRPr="009A3375">
        <w:rPr>
          <w:rFonts w:ascii="Times New Roman" w:hAnsi="Times New Roman"/>
          <w:b/>
          <w:sz w:val="24"/>
          <w:szCs w:val="24"/>
          <w:lang w:eastAsia="fr-FR"/>
        </w:rPr>
        <w:t xml:space="preserve"> </w:t>
      </w:r>
      <w:r w:rsidR="00C9054B" w:rsidRPr="009A3375">
        <w:rPr>
          <w:rFonts w:ascii="Times New Roman" w:hAnsi="Times New Roman"/>
          <w:sz w:val="24"/>
          <w:szCs w:val="24"/>
          <w:lang w:eastAsia="fr-FR"/>
        </w:rPr>
        <w:t xml:space="preserve">Ndërsa numri i subjekteve kontrollues të regjistruar </w:t>
      </w:r>
      <w:r w:rsidR="00DD7639" w:rsidRPr="009A3375">
        <w:rPr>
          <w:rFonts w:ascii="Times New Roman" w:hAnsi="Times New Roman"/>
          <w:sz w:val="24"/>
          <w:szCs w:val="24"/>
          <w:lang w:eastAsia="fr-FR"/>
        </w:rPr>
        <w:t xml:space="preserve">ne Regjistrin Qendror të Subjekteve Kontrolluese është </w:t>
      </w:r>
      <w:r w:rsidR="00DD7639" w:rsidRPr="009A3375">
        <w:rPr>
          <w:rFonts w:ascii="Times New Roman" w:hAnsi="Times New Roman"/>
          <w:b/>
          <w:sz w:val="24"/>
          <w:szCs w:val="24"/>
          <w:lang w:eastAsia="fr-FR"/>
        </w:rPr>
        <w:t>55</w:t>
      </w:r>
      <w:r w:rsidR="00D35561">
        <w:rPr>
          <w:rFonts w:ascii="Times New Roman" w:hAnsi="Times New Roman"/>
          <w:b/>
          <w:sz w:val="24"/>
          <w:szCs w:val="24"/>
          <w:lang w:eastAsia="fr-FR"/>
        </w:rPr>
        <w:t>11</w:t>
      </w:r>
      <w:r w:rsidR="00DD7639" w:rsidRPr="009A3375">
        <w:rPr>
          <w:rFonts w:ascii="Times New Roman" w:hAnsi="Times New Roman"/>
          <w:sz w:val="24"/>
          <w:szCs w:val="24"/>
          <w:lang w:eastAsia="fr-FR"/>
        </w:rPr>
        <w:t xml:space="preserve">, tregues i cili është në trendin rritës, çka do të thotë </w:t>
      </w:r>
      <w:r w:rsidR="00DB4E43">
        <w:rPr>
          <w:rFonts w:ascii="Times New Roman" w:hAnsi="Times New Roman"/>
          <w:sz w:val="24"/>
          <w:szCs w:val="24"/>
          <w:lang w:eastAsia="fr-FR"/>
        </w:rPr>
        <w:t>performancë</w:t>
      </w:r>
      <w:r w:rsidR="00DD7639" w:rsidRPr="009A3375">
        <w:rPr>
          <w:rFonts w:ascii="Times New Roman" w:hAnsi="Times New Roman"/>
          <w:sz w:val="24"/>
          <w:szCs w:val="24"/>
          <w:lang w:eastAsia="fr-FR"/>
        </w:rPr>
        <w:t xml:space="preserve"> pozitive për Zyrën e </w:t>
      </w:r>
      <w:r w:rsidR="00DB4E43" w:rsidRPr="009A3375">
        <w:rPr>
          <w:rFonts w:ascii="Times New Roman" w:hAnsi="Times New Roman"/>
          <w:sz w:val="24"/>
          <w:szCs w:val="24"/>
          <w:lang w:eastAsia="fr-FR"/>
        </w:rPr>
        <w:t>Komisionerit</w:t>
      </w:r>
      <w:r w:rsidR="00DD7639" w:rsidRPr="009A3375">
        <w:rPr>
          <w:rFonts w:ascii="Times New Roman" w:hAnsi="Times New Roman"/>
          <w:sz w:val="24"/>
          <w:szCs w:val="24"/>
          <w:lang w:eastAsia="fr-FR"/>
        </w:rPr>
        <w:t>.</w:t>
      </w:r>
    </w:p>
    <w:p w:rsidR="00DB4E43" w:rsidRPr="009A3375" w:rsidRDefault="00DB4E43" w:rsidP="007E124B">
      <w:pPr>
        <w:pStyle w:val="ListParagraph"/>
        <w:spacing w:after="240"/>
        <w:ind w:left="0"/>
        <w:contextualSpacing w:val="0"/>
        <w:jc w:val="both"/>
        <w:rPr>
          <w:rFonts w:ascii="Times New Roman" w:hAnsi="Times New Roman"/>
          <w:b/>
          <w:sz w:val="24"/>
          <w:szCs w:val="24"/>
          <w:lang w:eastAsia="fr-FR"/>
        </w:rPr>
      </w:pPr>
    </w:p>
    <w:p w:rsidR="003433CE" w:rsidRPr="009A3375" w:rsidRDefault="003433CE" w:rsidP="007E124B">
      <w:pPr>
        <w:numPr>
          <w:ilvl w:val="0"/>
          <w:numId w:val="16"/>
        </w:numPr>
        <w:spacing w:line="276" w:lineRule="auto"/>
        <w:jc w:val="both"/>
        <w:rPr>
          <w:b/>
        </w:rPr>
      </w:pPr>
      <w:r w:rsidRPr="009A3375">
        <w:rPr>
          <w:b/>
        </w:rPr>
        <w:t xml:space="preserve">Aktivitetet të tjera mbështetëse. </w:t>
      </w:r>
    </w:p>
    <w:p w:rsidR="003433CE" w:rsidRPr="009A3375" w:rsidRDefault="003433CE" w:rsidP="007E124B">
      <w:pPr>
        <w:spacing w:line="276" w:lineRule="auto"/>
        <w:ind w:left="720"/>
        <w:jc w:val="both"/>
        <w:rPr>
          <w:b/>
        </w:rPr>
      </w:pPr>
    </w:p>
    <w:p w:rsidR="003433CE" w:rsidRPr="009A3375" w:rsidRDefault="003433CE" w:rsidP="007E124B">
      <w:pPr>
        <w:spacing w:line="276" w:lineRule="auto"/>
        <w:jc w:val="both"/>
        <w:rPr>
          <w:b/>
        </w:rPr>
      </w:pPr>
      <w:r w:rsidRPr="009A3375">
        <w:rPr>
          <w:color w:val="0D0D0D"/>
        </w:rPr>
        <w:t xml:space="preserve">Në mbrojtje të privatësisë dhe të dhënave personale, janë organizuar mjaft aktivitete ndërgjegjësuese apo pjesëmarrje në evente ndërkombëtare. </w:t>
      </w:r>
    </w:p>
    <w:p w:rsidR="00C0549D" w:rsidRPr="009A3375" w:rsidRDefault="00DB4E43" w:rsidP="007E124B">
      <w:pPr>
        <w:pStyle w:val="ListParagraph"/>
        <w:ind w:left="0"/>
        <w:jc w:val="both"/>
        <w:rPr>
          <w:rFonts w:ascii="Times New Roman" w:hAnsi="Times New Roman"/>
          <w:color w:val="0D0D0D"/>
          <w:sz w:val="24"/>
          <w:szCs w:val="24"/>
        </w:rPr>
      </w:pPr>
      <w:r>
        <w:rPr>
          <w:rFonts w:ascii="Times New Roman" w:eastAsia="Batang" w:hAnsi="Times New Roman"/>
          <w:color w:val="0D0D0D"/>
          <w:sz w:val="24"/>
          <w:szCs w:val="24"/>
        </w:rPr>
        <w:t xml:space="preserve">Aktivitetet ndërgjegjësuese, </w:t>
      </w:r>
      <w:r w:rsidR="003433CE" w:rsidRPr="009A3375">
        <w:rPr>
          <w:rFonts w:ascii="Times New Roman" w:eastAsia="Batang" w:hAnsi="Times New Roman"/>
          <w:color w:val="0D0D0D"/>
          <w:sz w:val="24"/>
          <w:szCs w:val="24"/>
        </w:rPr>
        <w:t xml:space="preserve">nuk janë trajtuar si produkt më vete, por si veprimtari mbështetëse në funksion të respektimit të dy të drejtave, të </w:t>
      </w:r>
      <w:r w:rsidR="003433CE" w:rsidRPr="009A3375">
        <w:rPr>
          <w:rFonts w:ascii="Times New Roman" w:hAnsi="Times New Roman"/>
          <w:color w:val="0D0D0D"/>
          <w:sz w:val="24"/>
          <w:szCs w:val="24"/>
        </w:rPr>
        <w:t xml:space="preserve">së drejtës për informim dhe mbrojtjes së të dhënave personale. </w:t>
      </w:r>
    </w:p>
    <w:p w:rsidR="00802A50" w:rsidRPr="009A3375" w:rsidRDefault="003433CE" w:rsidP="007E124B">
      <w:pPr>
        <w:spacing w:after="120" w:line="276" w:lineRule="auto"/>
        <w:jc w:val="both"/>
        <w:rPr>
          <w:rFonts w:eastAsia="Calibri"/>
        </w:rPr>
      </w:pPr>
      <w:r w:rsidRPr="009A3375">
        <w:rPr>
          <w:lang w:val="it-IT"/>
        </w:rPr>
        <w:lastRenderedPageBreak/>
        <w:t xml:space="preserve">Në kuadër të Mbrojtjes së të Dhënave Personale, </w:t>
      </w:r>
      <w:r w:rsidRPr="009A3375">
        <w:t xml:space="preserve">ka </w:t>
      </w:r>
      <w:r w:rsidR="00C0549D" w:rsidRPr="009A3375">
        <w:t>ri</w:t>
      </w:r>
      <w:r w:rsidRPr="009A3375">
        <w:t xml:space="preserve">nisur  fushata  ndërgjegjësuese “Privatësi dhe Siguri”, </w:t>
      </w:r>
      <w:r w:rsidR="00802A50" w:rsidRPr="009A3375">
        <w:t>ku</w:t>
      </w:r>
      <w:r w:rsidRPr="009A3375">
        <w:t xml:space="preserve"> </w:t>
      </w:r>
      <w:r w:rsidR="00802A50" w:rsidRPr="009A3375">
        <w:t>n</w:t>
      </w:r>
      <w:r w:rsidR="00802A50" w:rsidRPr="009A3375">
        <w:rPr>
          <w:rFonts w:eastAsia="Calibri"/>
        </w:rPr>
        <w:t xml:space="preserve">ë bashkëpunim me Universitetin “Epoka”, </w:t>
      </w:r>
      <w:r w:rsidR="00802A50" w:rsidRPr="009A3375">
        <w:t>u</w:t>
      </w:r>
      <w:r w:rsidR="00802A50" w:rsidRPr="009A3375">
        <w:rPr>
          <w:rFonts w:eastAsia="Calibri"/>
        </w:rPr>
        <w:t xml:space="preserve"> zhvill</w:t>
      </w:r>
      <w:r w:rsidR="00802A50" w:rsidRPr="009A3375">
        <w:t xml:space="preserve">ua një </w:t>
      </w:r>
      <w:r w:rsidR="00802A50" w:rsidRPr="009A3375">
        <w:rPr>
          <w:rFonts w:eastAsia="Calibri"/>
        </w:rPr>
        <w:t xml:space="preserve">trajnim </w:t>
      </w:r>
      <w:r w:rsidR="00802A50" w:rsidRPr="009A3375">
        <w:t xml:space="preserve">ku </w:t>
      </w:r>
      <w:r w:rsidR="00DB4E43" w:rsidRPr="009A3375">
        <w:t>tematikat</w:t>
      </w:r>
      <w:r w:rsidR="00802A50" w:rsidRPr="009A3375">
        <w:t xml:space="preserve"> </w:t>
      </w:r>
      <w:r w:rsidR="00802A50" w:rsidRPr="009A3375">
        <w:rPr>
          <w:rFonts w:eastAsia="Calibri"/>
        </w:rPr>
        <w:t xml:space="preserve"> ishin njohja me legjislacionin shqiptar të mbrojtjes së të dhënave personale dhe risitë e Rregullores së Përgjithshme të Mbrojtjes së të Dhënave (GDPR) në BE. </w:t>
      </w:r>
    </w:p>
    <w:p w:rsidR="00802A50" w:rsidRPr="009A3375" w:rsidRDefault="00802A50" w:rsidP="007E124B">
      <w:pPr>
        <w:spacing w:after="120" w:line="276" w:lineRule="auto"/>
        <w:jc w:val="both"/>
        <w:rPr>
          <w:rFonts w:eastAsia="Calibri"/>
        </w:rPr>
      </w:pPr>
      <w:r w:rsidRPr="009A3375">
        <w:rPr>
          <w:rFonts w:eastAsia="Calibri"/>
        </w:rPr>
        <w:t>Zyra e Komisionerit gjat</w:t>
      </w:r>
      <w:r w:rsidR="00D35561">
        <w:rPr>
          <w:rFonts w:eastAsia="Calibri"/>
        </w:rPr>
        <w:t>ë</w:t>
      </w:r>
      <w:r w:rsidRPr="009A3375">
        <w:rPr>
          <w:rFonts w:eastAsia="Calibri"/>
        </w:rPr>
        <w:t xml:space="preserve"> muajit janar prezantoi nismën “Luaj dhe mëso – </w:t>
      </w:r>
      <w:proofErr w:type="spellStart"/>
      <w:r w:rsidRPr="009A3375">
        <w:rPr>
          <w:rFonts w:eastAsia="Calibri"/>
        </w:rPr>
        <w:t>Happy</w:t>
      </w:r>
      <w:proofErr w:type="spellEnd"/>
      <w:r w:rsidR="00D35561">
        <w:rPr>
          <w:rFonts w:eastAsia="Calibri"/>
        </w:rPr>
        <w:t xml:space="preserve"> </w:t>
      </w:r>
      <w:proofErr w:type="spellStart"/>
      <w:r w:rsidRPr="009A3375">
        <w:rPr>
          <w:rFonts w:eastAsia="Calibri"/>
        </w:rPr>
        <w:t>Onlife</w:t>
      </w:r>
      <w:proofErr w:type="spellEnd"/>
      <w:r w:rsidRPr="009A3375">
        <w:rPr>
          <w:rFonts w:eastAsia="Calibri"/>
        </w:rPr>
        <w:t>” në mjediset e shkollës 9-vjeçare “Kosova”, fushat</w:t>
      </w:r>
      <w:r w:rsidR="00D35561">
        <w:rPr>
          <w:rFonts w:eastAsia="Calibri"/>
        </w:rPr>
        <w:t>ë</w:t>
      </w:r>
      <w:r w:rsidRPr="009A3375">
        <w:rPr>
          <w:rFonts w:eastAsia="Calibri"/>
        </w:rPr>
        <w:t xml:space="preserve"> e</w:t>
      </w:r>
      <w:r w:rsidR="00D35561">
        <w:rPr>
          <w:rFonts w:eastAsia="Calibri"/>
        </w:rPr>
        <w:t xml:space="preserve"> </w:t>
      </w:r>
      <w:r w:rsidRPr="009A3375">
        <w:rPr>
          <w:rFonts w:eastAsia="Calibri"/>
        </w:rPr>
        <w:t xml:space="preserve">cila do </w:t>
      </w:r>
      <w:r w:rsidR="00D35561">
        <w:rPr>
          <w:rFonts w:eastAsia="Calibri"/>
        </w:rPr>
        <w:t>të</w:t>
      </w:r>
      <w:r w:rsidRPr="009A3375">
        <w:rPr>
          <w:rFonts w:eastAsia="Calibri"/>
        </w:rPr>
        <w:t xml:space="preserve"> vijoj</w:t>
      </w:r>
      <w:r w:rsidR="00D35561">
        <w:rPr>
          <w:rFonts w:eastAsia="Calibri"/>
        </w:rPr>
        <w:t>ë</w:t>
      </w:r>
      <w:r w:rsidRPr="009A3375">
        <w:rPr>
          <w:rFonts w:eastAsia="Calibri"/>
        </w:rPr>
        <w:t xml:space="preserve"> n</w:t>
      </w:r>
      <w:r w:rsidR="00D35561">
        <w:rPr>
          <w:rFonts w:eastAsia="Calibri"/>
        </w:rPr>
        <w:t>ë</w:t>
      </w:r>
      <w:r w:rsidRPr="009A3375">
        <w:rPr>
          <w:rFonts w:eastAsia="Calibri"/>
        </w:rPr>
        <w:t xml:space="preserve"> muajt pasardh</w:t>
      </w:r>
      <w:r w:rsidR="00D35561">
        <w:rPr>
          <w:rFonts w:eastAsia="Calibri"/>
        </w:rPr>
        <w:t>ë</w:t>
      </w:r>
      <w:r w:rsidRPr="009A3375">
        <w:rPr>
          <w:rFonts w:eastAsia="Calibri"/>
        </w:rPr>
        <w:t xml:space="preserve">s,  </w:t>
      </w:r>
      <w:r w:rsidR="00D35561">
        <w:rPr>
          <w:rFonts w:eastAsia="Calibri"/>
        </w:rPr>
        <w:t xml:space="preserve">synim i së cilës është </w:t>
      </w:r>
      <w:r w:rsidRPr="009A3375">
        <w:rPr>
          <w:rFonts w:eastAsia="Calibri"/>
        </w:rPr>
        <w:t xml:space="preserve"> ndërgjegjësimi dhe zgjerimi </w:t>
      </w:r>
      <w:r w:rsidR="00D35561">
        <w:rPr>
          <w:rFonts w:eastAsia="Calibri"/>
        </w:rPr>
        <w:t>i</w:t>
      </w:r>
      <w:r w:rsidRPr="009A3375">
        <w:rPr>
          <w:rFonts w:eastAsia="Calibri"/>
        </w:rPr>
        <w:t xml:space="preserve"> njohurive për mbrojtje efektive nga fenomene negative si bullizmi, kontaktet e padëshiruara në internet</w:t>
      </w:r>
      <w:r w:rsidR="00DB4E43">
        <w:rPr>
          <w:rFonts w:eastAsia="Calibri"/>
        </w:rPr>
        <w:t>,</w:t>
      </w:r>
      <w:r w:rsidRPr="009A3375">
        <w:rPr>
          <w:rFonts w:eastAsia="Calibri"/>
        </w:rPr>
        <w:t xml:space="preserve"> sidomos në rrjetet sociale.</w:t>
      </w:r>
    </w:p>
    <w:p w:rsidR="00802A50" w:rsidRDefault="00802A50" w:rsidP="007E124B">
      <w:pPr>
        <w:spacing w:line="276" w:lineRule="auto"/>
        <w:jc w:val="both"/>
      </w:pPr>
      <w:r w:rsidRPr="009A3375">
        <w:t>Në kuadër të “Marrëveshjes për bashkëpunimin ndërmjet Republikës së Shqipërisë dhe EUROJUST”, të ratifikuar nga Kuvendi me ligjin nr.113/2018,  Prokurori i Përgjithshëm d</w:t>
      </w:r>
      <w:r w:rsidR="00DB4E43">
        <w:t xml:space="preserve">he Komisioneri për të Drejtën e </w:t>
      </w:r>
      <w:r w:rsidRPr="009A3375">
        <w:t>Informimit dhe Mbrojtjen e të Dhënave Personale nënshkruan një “Planveprimi”.</w:t>
      </w:r>
      <w:r w:rsidR="00D35561">
        <w:t xml:space="preserve"> </w:t>
      </w:r>
      <w:r w:rsidRPr="009A3375">
        <w:t xml:space="preserve">Të dy këto institucione </w:t>
      </w:r>
      <w:r w:rsidR="00D35561">
        <w:t xml:space="preserve">kanë </w:t>
      </w:r>
      <w:r w:rsidRPr="009A3375">
        <w:t>ngr</w:t>
      </w:r>
      <w:r w:rsidR="00D35561">
        <w:t>itur</w:t>
      </w:r>
      <w:r w:rsidRPr="009A3375">
        <w:t xml:space="preserve"> një grup pune për të vlerësuar përpunimin e të dhënave personale në veprimtarinë e prokurorisë në nivel qendror dhe vendor, si dhe për të adresuar të gjitha problematikat që do të konstatohen në këtë proces. “Planveprimi” ka përcaktuar afate konkrete në</w:t>
      </w:r>
      <w:r w:rsidR="003F3456">
        <w:t xml:space="preserve"> realizimin e të gjitha masave, qëllimi i së cilës është </w:t>
      </w:r>
      <w:r w:rsidRPr="009A3375">
        <w:t>përshtat</w:t>
      </w:r>
      <w:r w:rsidR="003F3456">
        <w:t>ja e</w:t>
      </w:r>
      <w:r w:rsidRPr="009A3375">
        <w:t xml:space="preserve"> Rregullore</w:t>
      </w:r>
      <w:r w:rsidR="003F3456">
        <w:t>s</w:t>
      </w:r>
      <w:r w:rsidRPr="009A3375">
        <w:t xml:space="preserve"> </w:t>
      </w:r>
      <w:r w:rsidR="003F3456">
        <w:t>së</w:t>
      </w:r>
      <w:r w:rsidRPr="009A3375">
        <w:t xml:space="preserve"> Mbrojtjes së të Dhënave Personale të Prokurorisë së Përgjithshme me detyrimet specifike të Marrëveshjes me EUROJUST. </w:t>
      </w:r>
    </w:p>
    <w:p w:rsidR="003F3456" w:rsidRPr="009A3375" w:rsidRDefault="003F3456" w:rsidP="007E124B">
      <w:pPr>
        <w:spacing w:line="276" w:lineRule="auto"/>
        <w:jc w:val="both"/>
      </w:pPr>
    </w:p>
    <w:p w:rsidR="003433CE" w:rsidRPr="009A3375" w:rsidRDefault="003433CE" w:rsidP="007E124B">
      <w:pPr>
        <w:spacing w:line="276" w:lineRule="auto"/>
        <w:jc w:val="both"/>
        <w:rPr>
          <w:color w:val="0D0D0D"/>
        </w:rPr>
      </w:pPr>
      <w:r w:rsidRPr="009A3375">
        <w:rPr>
          <w:color w:val="0D0D0D"/>
        </w:rPr>
        <w:t xml:space="preserve">Një tjetër aktivitet që mbështet të dy shtyllat për garantimin e dy të drejtave </w:t>
      </w:r>
      <w:r w:rsidR="005010E7" w:rsidRPr="00DB4E43">
        <w:rPr>
          <w:color w:val="0D0D0D"/>
        </w:rPr>
        <w:t>është</w:t>
      </w:r>
      <w:r w:rsidR="005010E7" w:rsidRPr="009A3375">
        <w:rPr>
          <w:b/>
          <w:i/>
          <w:color w:val="0D0D0D"/>
        </w:rPr>
        <w:t xml:space="preserve"> </w:t>
      </w:r>
      <w:r w:rsidRPr="009A3375">
        <w:rPr>
          <w:b/>
          <w:i/>
          <w:color w:val="0D0D0D"/>
        </w:rPr>
        <w:t xml:space="preserve"> </w:t>
      </w:r>
      <w:r w:rsidR="005010E7" w:rsidRPr="009A3375">
        <w:rPr>
          <w:b/>
          <w:color w:val="0D0D0D"/>
        </w:rPr>
        <w:t>S</w:t>
      </w:r>
      <w:r w:rsidRPr="009A3375">
        <w:rPr>
          <w:b/>
          <w:color w:val="0D0D0D"/>
        </w:rPr>
        <w:t>hërbim</w:t>
      </w:r>
      <w:r w:rsidR="005010E7" w:rsidRPr="009A3375">
        <w:rPr>
          <w:b/>
          <w:color w:val="0D0D0D"/>
        </w:rPr>
        <w:t xml:space="preserve">i </w:t>
      </w:r>
      <w:r w:rsidRPr="009A3375">
        <w:rPr>
          <w:b/>
          <w:color w:val="0D0D0D"/>
        </w:rPr>
        <w:t>ligjor</w:t>
      </w:r>
      <w:r w:rsidR="005010E7" w:rsidRPr="009A3375">
        <w:rPr>
          <w:b/>
          <w:i/>
          <w:color w:val="0D0D0D"/>
        </w:rPr>
        <w:t xml:space="preserve">, </w:t>
      </w:r>
      <w:r w:rsidRPr="009A3375">
        <w:rPr>
          <w:color w:val="0D0D0D"/>
        </w:rPr>
        <w:t xml:space="preserve"> edhe pse në vitet e kaluara janë trajtuar si produkt më vete. </w:t>
      </w:r>
    </w:p>
    <w:p w:rsidR="00DB3A6F" w:rsidRPr="009A3375" w:rsidRDefault="00DB3A6F" w:rsidP="007E124B">
      <w:pPr>
        <w:spacing w:line="276" w:lineRule="auto"/>
        <w:jc w:val="both"/>
        <w:rPr>
          <w:color w:val="0D0D0D"/>
          <w:shd w:val="clear" w:color="auto" w:fill="FFFFFF"/>
        </w:rPr>
      </w:pPr>
    </w:p>
    <w:p w:rsidR="003433CE" w:rsidRPr="009A3375" w:rsidRDefault="003433CE" w:rsidP="007E124B">
      <w:pPr>
        <w:spacing w:line="276" w:lineRule="auto"/>
        <w:jc w:val="both"/>
      </w:pPr>
      <w:r w:rsidRPr="009A3375">
        <w:t xml:space="preserve">Në drejtim të zbatimit të detyrimeve që burojnë nga akte ligjore apo nënligjore të tjera : </w:t>
      </w:r>
    </w:p>
    <w:p w:rsidR="003433CE" w:rsidRPr="009A3375" w:rsidRDefault="003433CE" w:rsidP="007E124B">
      <w:pPr>
        <w:spacing w:line="276" w:lineRule="auto"/>
        <w:jc w:val="both"/>
      </w:pPr>
    </w:p>
    <w:p w:rsidR="003433CE" w:rsidRPr="003F3456" w:rsidRDefault="003433CE" w:rsidP="007E124B">
      <w:pPr>
        <w:pStyle w:val="ListParagraph"/>
        <w:numPr>
          <w:ilvl w:val="0"/>
          <w:numId w:val="30"/>
        </w:numPr>
        <w:jc w:val="both"/>
        <w:rPr>
          <w:rFonts w:ascii="Times New Roman" w:hAnsi="Times New Roman"/>
          <w:sz w:val="24"/>
          <w:szCs w:val="24"/>
        </w:rPr>
      </w:pPr>
      <w:r w:rsidRPr="009A3375">
        <w:rPr>
          <w:rFonts w:ascii="Times New Roman" w:hAnsi="Times New Roman"/>
          <w:sz w:val="24"/>
          <w:szCs w:val="24"/>
        </w:rPr>
        <w:t xml:space="preserve">Zyra e Komisionerit ka dhënë </w:t>
      </w:r>
      <w:r w:rsidR="00DB3A6F" w:rsidRPr="009A3375">
        <w:rPr>
          <w:rFonts w:ascii="Times New Roman" w:hAnsi="Times New Roman"/>
          <w:sz w:val="24"/>
          <w:szCs w:val="24"/>
        </w:rPr>
        <w:t>ka dhënë mendim ligjor për</w:t>
      </w:r>
      <w:r w:rsidR="00DB3A6F" w:rsidRPr="009A3375">
        <w:rPr>
          <w:rFonts w:ascii="Times New Roman" w:hAnsi="Times New Roman"/>
          <w:b/>
          <w:sz w:val="24"/>
          <w:szCs w:val="24"/>
        </w:rPr>
        <w:t xml:space="preserve"> </w:t>
      </w:r>
      <w:r w:rsidR="00CE171C" w:rsidRPr="009A3375">
        <w:rPr>
          <w:rFonts w:ascii="Times New Roman" w:hAnsi="Times New Roman"/>
          <w:b/>
          <w:sz w:val="24"/>
          <w:szCs w:val="24"/>
        </w:rPr>
        <w:t>3</w:t>
      </w:r>
      <w:r w:rsidR="00DB3A6F" w:rsidRPr="009A3375">
        <w:rPr>
          <w:rFonts w:ascii="Times New Roman" w:hAnsi="Times New Roman"/>
          <w:b/>
          <w:sz w:val="24"/>
          <w:szCs w:val="24"/>
        </w:rPr>
        <w:t xml:space="preserve"> </w:t>
      </w:r>
      <w:r w:rsidR="00DB3A6F" w:rsidRPr="009A3375">
        <w:rPr>
          <w:rFonts w:ascii="Times New Roman" w:hAnsi="Times New Roman"/>
          <w:sz w:val="24"/>
          <w:szCs w:val="24"/>
        </w:rPr>
        <w:t>projekt/ligj,</w:t>
      </w:r>
      <w:r w:rsidR="00DB3A6F" w:rsidRPr="009A3375">
        <w:rPr>
          <w:rFonts w:ascii="Times New Roman" w:hAnsi="Times New Roman"/>
          <w:b/>
          <w:sz w:val="24"/>
          <w:szCs w:val="24"/>
        </w:rPr>
        <w:t xml:space="preserve"> 4 </w:t>
      </w:r>
      <w:r w:rsidR="00DB3A6F" w:rsidRPr="009A3375">
        <w:rPr>
          <w:rFonts w:ascii="Times New Roman" w:hAnsi="Times New Roman"/>
          <w:sz w:val="24"/>
          <w:szCs w:val="24"/>
        </w:rPr>
        <w:t>dhe</w:t>
      </w:r>
      <w:r w:rsidR="00DB3A6F" w:rsidRPr="009A3375">
        <w:rPr>
          <w:rFonts w:ascii="Times New Roman" w:hAnsi="Times New Roman"/>
          <w:b/>
          <w:sz w:val="24"/>
          <w:szCs w:val="24"/>
        </w:rPr>
        <w:t xml:space="preserve"> </w:t>
      </w:r>
      <w:r w:rsidR="00CE171C" w:rsidRPr="009A3375">
        <w:rPr>
          <w:rFonts w:ascii="Times New Roman" w:hAnsi="Times New Roman"/>
          <w:b/>
          <w:sz w:val="24"/>
          <w:szCs w:val="24"/>
        </w:rPr>
        <w:t>1</w:t>
      </w:r>
      <w:r w:rsidR="00DB3A6F" w:rsidRPr="009A3375">
        <w:rPr>
          <w:rFonts w:ascii="Times New Roman" w:hAnsi="Times New Roman"/>
          <w:b/>
          <w:sz w:val="24"/>
          <w:szCs w:val="24"/>
        </w:rPr>
        <w:t xml:space="preserve"> </w:t>
      </w:r>
      <w:r w:rsidR="00DB3A6F" w:rsidRPr="009A3375">
        <w:rPr>
          <w:rFonts w:ascii="Times New Roman" w:hAnsi="Times New Roman"/>
          <w:sz w:val="24"/>
          <w:szCs w:val="24"/>
        </w:rPr>
        <w:t>projekt/marrëveshje bashkëpunimi,</w:t>
      </w:r>
      <w:r w:rsidR="00DB4E43">
        <w:rPr>
          <w:rFonts w:ascii="Times New Roman" w:hAnsi="Times New Roman"/>
          <w:sz w:val="24"/>
          <w:szCs w:val="24"/>
        </w:rPr>
        <w:t xml:space="preserve"> </w:t>
      </w:r>
      <w:r w:rsidR="00DB3A6F" w:rsidRPr="009A3375">
        <w:rPr>
          <w:rFonts w:ascii="Times New Roman" w:hAnsi="Times New Roman"/>
          <w:sz w:val="24"/>
          <w:szCs w:val="24"/>
        </w:rPr>
        <w:t xml:space="preserve">si dhe për disa akte të tjera </w:t>
      </w:r>
      <w:r w:rsidR="00DB4E43" w:rsidRPr="009A3375">
        <w:rPr>
          <w:rFonts w:ascii="Times New Roman" w:hAnsi="Times New Roman"/>
          <w:sz w:val="24"/>
          <w:szCs w:val="24"/>
        </w:rPr>
        <w:t>rregullatore</w:t>
      </w:r>
      <w:r w:rsidR="00DB4E43">
        <w:rPr>
          <w:rFonts w:ascii="Times New Roman" w:hAnsi="Times New Roman"/>
          <w:sz w:val="24"/>
          <w:szCs w:val="24"/>
        </w:rPr>
        <w:t>.</w:t>
      </w:r>
    </w:p>
    <w:p w:rsidR="00CE171C" w:rsidRPr="003F3456" w:rsidRDefault="003F3456" w:rsidP="007E124B">
      <w:pPr>
        <w:pStyle w:val="ListParagraph"/>
        <w:numPr>
          <w:ilvl w:val="0"/>
          <w:numId w:val="30"/>
        </w:numPr>
        <w:jc w:val="both"/>
        <w:rPr>
          <w:rFonts w:ascii="Times New Roman" w:hAnsi="Times New Roman"/>
          <w:sz w:val="24"/>
          <w:szCs w:val="24"/>
          <w:lang w:val="it-IT"/>
        </w:rPr>
      </w:pPr>
      <w:r>
        <w:rPr>
          <w:rFonts w:ascii="Times New Roman" w:hAnsi="Times New Roman"/>
          <w:sz w:val="24"/>
          <w:szCs w:val="24"/>
        </w:rPr>
        <w:t>Janë hartuar disa raportime:</w:t>
      </w:r>
      <w:r w:rsidR="00DB4E43">
        <w:rPr>
          <w:rFonts w:ascii="Times New Roman" w:hAnsi="Times New Roman"/>
          <w:sz w:val="24"/>
          <w:szCs w:val="24"/>
        </w:rPr>
        <w:t xml:space="preserve"> </w:t>
      </w:r>
      <w:r w:rsidR="00754285" w:rsidRPr="009A3375">
        <w:rPr>
          <w:rFonts w:ascii="Times New Roman" w:hAnsi="Times New Roman"/>
          <w:sz w:val="24"/>
          <w:szCs w:val="24"/>
        </w:rPr>
        <w:t>mbi veprimtarinë e Zyrës së</w:t>
      </w:r>
      <w:r>
        <w:rPr>
          <w:rFonts w:ascii="Times New Roman" w:hAnsi="Times New Roman"/>
          <w:sz w:val="24"/>
          <w:szCs w:val="24"/>
        </w:rPr>
        <w:t xml:space="preserve"> </w:t>
      </w:r>
      <w:r w:rsidR="00754285" w:rsidRPr="009A3375">
        <w:rPr>
          <w:rFonts w:ascii="Times New Roman" w:hAnsi="Times New Roman"/>
          <w:sz w:val="24"/>
          <w:szCs w:val="24"/>
        </w:rPr>
        <w:t>Komisionerit për të Drejtën e Informimit dhe M</w:t>
      </w:r>
      <w:r>
        <w:rPr>
          <w:rFonts w:ascii="Times New Roman" w:hAnsi="Times New Roman"/>
          <w:sz w:val="24"/>
          <w:szCs w:val="24"/>
        </w:rPr>
        <w:t xml:space="preserve">brojtjen e të Dhënave Personale; raportime  </w:t>
      </w:r>
      <w:r w:rsidR="00CE171C" w:rsidRPr="003F3456">
        <w:rPr>
          <w:rFonts w:ascii="Times New Roman" w:hAnsi="Times New Roman"/>
          <w:sz w:val="24"/>
          <w:szCs w:val="24"/>
          <w:lang w:val="it-IT"/>
        </w:rPr>
        <w:t>në kuadër të “Hartimit të Kontributit të dytë të Raportit të Komisionit Evropian për Shqipërinë për vitin 2019”, dr</w:t>
      </w:r>
      <w:r>
        <w:rPr>
          <w:rFonts w:ascii="Times New Roman" w:hAnsi="Times New Roman"/>
          <w:sz w:val="24"/>
          <w:szCs w:val="24"/>
          <w:lang w:val="it-IT"/>
        </w:rPr>
        <w:t xml:space="preserve">ejtuar Ministrisë së Drejtësisë; </w:t>
      </w:r>
      <w:r w:rsidR="00CE171C" w:rsidRPr="003F3456">
        <w:rPr>
          <w:rFonts w:ascii="Times New Roman" w:hAnsi="Times New Roman"/>
          <w:sz w:val="24"/>
          <w:szCs w:val="24"/>
          <w:lang w:val="it-IT"/>
        </w:rPr>
        <w:t>raport</w:t>
      </w:r>
      <w:r>
        <w:rPr>
          <w:rFonts w:ascii="Times New Roman" w:hAnsi="Times New Roman"/>
          <w:sz w:val="24"/>
          <w:szCs w:val="24"/>
          <w:lang w:val="it-IT"/>
        </w:rPr>
        <w:t xml:space="preserve">im </w:t>
      </w:r>
      <w:r w:rsidR="00CE171C" w:rsidRPr="003F3456">
        <w:rPr>
          <w:rFonts w:ascii="Times New Roman" w:hAnsi="Times New Roman"/>
          <w:sz w:val="24"/>
          <w:szCs w:val="24"/>
          <w:lang w:val="it-IT"/>
        </w:rPr>
        <w:t xml:space="preserve">në kuadër të takimit të 11-të të Nënkomitetit, Bashkimi Evropian-Shqipëri “Drejtësia, Liria dhe Siguria”, </w:t>
      </w:r>
      <w:r>
        <w:rPr>
          <w:rFonts w:ascii="Times New Roman" w:hAnsi="Times New Roman"/>
          <w:sz w:val="24"/>
          <w:szCs w:val="24"/>
          <w:lang w:val="it-IT"/>
        </w:rPr>
        <w:t>me fokus</w:t>
      </w:r>
      <w:r w:rsidR="00CE171C" w:rsidRPr="003F3456">
        <w:rPr>
          <w:rFonts w:ascii="Times New Roman" w:hAnsi="Times New Roman"/>
          <w:sz w:val="24"/>
          <w:szCs w:val="24"/>
          <w:lang w:val="it-IT"/>
        </w:rPr>
        <w:t xml:space="preserve"> rekomandimet e lëna nga Raporti i Komisionit Evropian për Shqipërinë i vitit 2018, angazhimet e ndërmarra në Planin Kombëtar të Integrimit Evropian 2018 – 2020, zhvillimin</w:t>
      </w:r>
      <w:r w:rsidR="005D6E93">
        <w:rPr>
          <w:rFonts w:ascii="Times New Roman" w:hAnsi="Times New Roman"/>
          <w:sz w:val="24"/>
          <w:szCs w:val="24"/>
          <w:lang w:val="it-IT"/>
        </w:rPr>
        <w:t xml:space="preserve"> e kuadrit ligjor, përafrimin e </w:t>
      </w:r>
      <w:r w:rsidR="00CE171C" w:rsidRPr="003F3456">
        <w:rPr>
          <w:rFonts w:ascii="Times New Roman" w:hAnsi="Times New Roman"/>
          <w:sz w:val="24"/>
          <w:szCs w:val="24"/>
          <w:lang w:val="it-IT"/>
        </w:rPr>
        <w:t>legjislacionit si dhe forcimin e kapaciteteve.</w:t>
      </w:r>
    </w:p>
    <w:p w:rsidR="00CE171C" w:rsidRPr="003F3456" w:rsidRDefault="00CE171C" w:rsidP="007E124B">
      <w:pPr>
        <w:pStyle w:val="ListParagraph"/>
        <w:numPr>
          <w:ilvl w:val="0"/>
          <w:numId w:val="30"/>
        </w:numPr>
        <w:spacing w:after="120"/>
        <w:jc w:val="both"/>
        <w:rPr>
          <w:rFonts w:ascii="Times New Roman" w:hAnsi="Times New Roman"/>
          <w:color w:val="262626" w:themeColor="text1" w:themeTint="D9"/>
          <w:sz w:val="24"/>
          <w:szCs w:val="24"/>
        </w:rPr>
      </w:pPr>
      <w:r w:rsidRPr="003F3456">
        <w:rPr>
          <w:rFonts w:ascii="Times New Roman" w:hAnsi="Times New Roman"/>
          <w:color w:val="262626" w:themeColor="text1" w:themeTint="D9"/>
          <w:sz w:val="24"/>
          <w:szCs w:val="24"/>
        </w:rPr>
        <w:t xml:space="preserve">Gjatë periudhës janar-prill 2019, janë ndjekur </w:t>
      </w:r>
      <w:r w:rsidRPr="003F3456">
        <w:rPr>
          <w:rFonts w:ascii="Times New Roman" w:hAnsi="Times New Roman"/>
          <w:b/>
          <w:color w:val="262626" w:themeColor="text1" w:themeTint="D9"/>
          <w:sz w:val="24"/>
          <w:szCs w:val="24"/>
        </w:rPr>
        <w:t>13</w:t>
      </w:r>
      <w:r w:rsidR="003F3456" w:rsidRPr="003F3456">
        <w:rPr>
          <w:rFonts w:ascii="Times New Roman" w:hAnsi="Times New Roman"/>
          <w:b/>
          <w:color w:val="262626" w:themeColor="text1" w:themeTint="D9"/>
          <w:sz w:val="24"/>
          <w:szCs w:val="24"/>
        </w:rPr>
        <w:t xml:space="preserve"> </w:t>
      </w:r>
      <w:r w:rsidRPr="003F3456">
        <w:rPr>
          <w:rFonts w:ascii="Times New Roman" w:hAnsi="Times New Roman"/>
          <w:color w:val="262626" w:themeColor="text1" w:themeTint="D9"/>
          <w:sz w:val="24"/>
          <w:szCs w:val="24"/>
        </w:rPr>
        <w:t xml:space="preserve">procese gjyqësore, në Gjykatën Administrative të Shkallës së Parë Tiranë, mbi zbatimin e ligjit për të drejtën e informimit dhe legjislacionit për mbrojtjen e të dhënave personale. Ndër këto, </w:t>
      </w:r>
      <w:r w:rsidRPr="003F3456">
        <w:rPr>
          <w:rFonts w:ascii="Times New Roman" w:hAnsi="Times New Roman"/>
          <w:b/>
          <w:color w:val="262626" w:themeColor="text1" w:themeTint="D9"/>
          <w:sz w:val="24"/>
          <w:szCs w:val="24"/>
        </w:rPr>
        <w:t>9</w:t>
      </w:r>
      <w:r w:rsidRPr="003F3456">
        <w:rPr>
          <w:rFonts w:ascii="Times New Roman" w:hAnsi="Times New Roman"/>
          <w:color w:val="262626" w:themeColor="text1" w:themeTint="D9"/>
          <w:sz w:val="24"/>
          <w:szCs w:val="24"/>
        </w:rPr>
        <w:t xml:space="preserve"> çështje kanë përfunduar me lënien në fuqi të vendimit të Komisionerit, ndërsa vijon ndjekja e </w:t>
      </w:r>
      <w:r w:rsidRPr="003F3456">
        <w:rPr>
          <w:rFonts w:ascii="Times New Roman" w:hAnsi="Times New Roman"/>
          <w:b/>
          <w:color w:val="262626" w:themeColor="text1" w:themeTint="D9"/>
          <w:sz w:val="24"/>
          <w:szCs w:val="24"/>
        </w:rPr>
        <w:t>4</w:t>
      </w:r>
      <w:r w:rsidRPr="003F3456">
        <w:rPr>
          <w:rFonts w:ascii="Times New Roman" w:hAnsi="Times New Roman"/>
          <w:color w:val="262626" w:themeColor="text1" w:themeTint="D9"/>
          <w:sz w:val="24"/>
          <w:szCs w:val="24"/>
        </w:rPr>
        <w:t xml:space="preserve"> proceseve të tjera.</w:t>
      </w:r>
    </w:p>
    <w:p w:rsidR="00CE171C" w:rsidRPr="003F3456" w:rsidRDefault="00CE171C" w:rsidP="007E124B">
      <w:pPr>
        <w:pStyle w:val="ListParagraph"/>
        <w:numPr>
          <w:ilvl w:val="0"/>
          <w:numId w:val="30"/>
        </w:numPr>
        <w:spacing w:after="120"/>
        <w:jc w:val="both"/>
        <w:rPr>
          <w:rFonts w:ascii="Times New Roman" w:hAnsi="Times New Roman"/>
          <w:color w:val="262626" w:themeColor="text1" w:themeTint="D9"/>
          <w:sz w:val="24"/>
          <w:szCs w:val="24"/>
          <w:lang w:val="it-IT"/>
        </w:rPr>
      </w:pPr>
      <w:r w:rsidRPr="003F3456">
        <w:rPr>
          <w:rFonts w:ascii="Times New Roman" w:hAnsi="Times New Roman"/>
          <w:color w:val="262626" w:themeColor="text1" w:themeTint="D9"/>
          <w:sz w:val="24"/>
          <w:szCs w:val="24"/>
          <w:lang w:val="it-IT"/>
        </w:rPr>
        <w:t xml:space="preserve">Gjithashtu, ka vijuar ndjekja e </w:t>
      </w:r>
      <w:r w:rsidRPr="003F3456">
        <w:rPr>
          <w:rFonts w:ascii="Times New Roman" w:hAnsi="Times New Roman"/>
          <w:b/>
          <w:color w:val="262626" w:themeColor="text1" w:themeTint="D9"/>
          <w:sz w:val="24"/>
          <w:szCs w:val="24"/>
          <w:lang w:val="it-IT"/>
        </w:rPr>
        <w:t>2</w:t>
      </w:r>
      <w:r w:rsidRPr="003F3456">
        <w:rPr>
          <w:rFonts w:ascii="Times New Roman" w:hAnsi="Times New Roman"/>
          <w:color w:val="262626" w:themeColor="text1" w:themeTint="D9"/>
          <w:sz w:val="24"/>
          <w:szCs w:val="24"/>
          <w:lang w:val="it-IT"/>
        </w:rPr>
        <w:t xml:space="preserve"> proceseve gjyqësore pranë Gjykatës së Apelit Administrativ, Tiranë.</w:t>
      </w:r>
    </w:p>
    <w:p w:rsidR="006566C8" w:rsidRDefault="006566C8" w:rsidP="007E124B">
      <w:pPr>
        <w:pStyle w:val="ListParagraph"/>
        <w:numPr>
          <w:ilvl w:val="0"/>
          <w:numId w:val="30"/>
        </w:numPr>
        <w:jc w:val="both"/>
        <w:rPr>
          <w:rFonts w:ascii="Times New Roman" w:hAnsi="Times New Roman"/>
          <w:color w:val="262626" w:themeColor="text1" w:themeTint="D9"/>
          <w:sz w:val="24"/>
          <w:szCs w:val="24"/>
        </w:rPr>
      </w:pPr>
      <w:r w:rsidRPr="003F3456">
        <w:rPr>
          <w:rFonts w:ascii="Times New Roman" w:hAnsi="Times New Roman"/>
          <w:color w:val="262626" w:themeColor="text1" w:themeTint="D9"/>
          <w:sz w:val="24"/>
          <w:szCs w:val="24"/>
        </w:rPr>
        <w:lastRenderedPageBreak/>
        <w:t xml:space="preserve">Në lidhje me vendimet e Komisionerit dhe zbatimin e tyre, bazuar në numrin e vendimeve të lëna në fuqi nga gjykata ose ekzekutimin e tyre edhe për këtë vit </w:t>
      </w:r>
      <w:r w:rsidRPr="003F3456">
        <w:rPr>
          <w:rFonts w:ascii="Times New Roman" w:hAnsi="Times New Roman"/>
          <w:b/>
          <w:color w:val="262626" w:themeColor="text1" w:themeTint="D9"/>
          <w:sz w:val="24"/>
          <w:szCs w:val="24"/>
        </w:rPr>
        <w:t>konstatohet një ecuri shumë pozitive</w:t>
      </w:r>
      <w:r w:rsidRPr="003F3456">
        <w:rPr>
          <w:rFonts w:ascii="Times New Roman" w:hAnsi="Times New Roman"/>
          <w:color w:val="262626" w:themeColor="text1" w:themeTint="D9"/>
          <w:sz w:val="24"/>
          <w:szCs w:val="24"/>
        </w:rPr>
        <w:t xml:space="preserve"> në plotësimin e treguesve të </w:t>
      </w:r>
      <w:r w:rsidR="005D6E93" w:rsidRPr="003F3456">
        <w:rPr>
          <w:rFonts w:ascii="Times New Roman" w:hAnsi="Times New Roman"/>
          <w:color w:val="262626" w:themeColor="text1" w:themeTint="D9"/>
          <w:sz w:val="24"/>
          <w:szCs w:val="24"/>
        </w:rPr>
        <w:t>performancës</w:t>
      </w:r>
      <w:r w:rsidRPr="003F3456">
        <w:rPr>
          <w:rFonts w:ascii="Times New Roman" w:hAnsi="Times New Roman"/>
          <w:color w:val="262626" w:themeColor="text1" w:themeTint="D9"/>
          <w:sz w:val="24"/>
          <w:szCs w:val="24"/>
        </w:rPr>
        <w:t xml:space="preserve"> në nivel strategjik</w:t>
      </w:r>
      <w:r w:rsidR="003F3456">
        <w:rPr>
          <w:rFonts w:ascii="Times New Roman" w:hAnsi="Times New Roman"/>
          <w:color w:val="262626" w:themeColor="text1" w:themeTint="D9"/>
          <w:sz w:val="24"/>
          <w:szCs w:val="24"/>
        </w:rPr>
        <w:t xml:space="preserve">, për rreth 70 %. </w:t>
      </w:r>
    </w:p>
    <w:p w:rsidR="00B720E4" w:rsidRPr="00B720E4" w:rsidRDefault="00B720E4" w:rsidP="007E124B">
      <w:pPr>
        <w:spacing w:line="276" w:lineRule="auto"/>
        <w:jc w:val="both"/>
        <w:rPr>
          <w:color w:val="262626" w:themeColor="text1" w:themeTint="D9"/>
        </w:rPr>
      </w:pPr>
    </w:p>
    <w:p w:rsidR="003F3456" w:rsidRPr="009A3375" w:rsidRDefault="003F3456" w:rsidP="007E124B">
      <w:pPr>
        <w:spacing w:line="276" w:lineRule="auto"/>
        <w:jc w:val="both"/>
        <w:rPr>
          <w:b/>
          <w:color w:val="000000" w:themeColor="text1"/>
        </w:rPr>
      </w:pPr>
      <w:r w:rsidRPr="009A3375">
        <w:rPr>
          <w:b/>
          <w:color w:val="000000" w:themeColor="text1"/>
        </w:rPr>
        <w:t>4- Të ardhurat nga sanksionet/gjoba</w:t>
      </w:r>
    </w:p>
    <w:p w:rsidR="003F3456" w:rsidRPr="008776B5" w:rsidRDefault="003F3456" w:rsidP="007E124B">
      <w:pPr>
        <w:spacing w:line="276" w:lineRule="auto"/>
        <w:jc w:val="both"/>
        <w:rPr>
          <w:color w:val="0D0D0D" w:themeColor="text1" w:themeTint="F2"/>
        </w:rPr>
      </w:pPr>
    </w:p>
    <w:p w:rsidR="003F3456" w:rsidRDefault="003F3456" w:rsidP="007E124B">
      <w:pPr>
        <w:pStyle w:val="Title"/>
        <w:spacing w:line="276" w:lineRule="auto"/>
        <w:jc w:val="both"/>
        <w:rPr>
          <w:rFonts w:ascii="Times New Roman"/>
          <w:color w:val="0D0D0D" w:themeColor="text1" w:themeTint="F2"/>
          <w:sz w:val="24"/>
          <w:szCs w:val="24"/>
        </w:rPr>
      </w:pPr>
      <w:r w:rsidRPr="008776B5">
        <w:rPr>
          <w:rFonts w:ascii="Times New Roman"/>
          <w:color w:val="0D0D0D" w:themeColor="text1" w:themeTint="F2"/>
          <w:sz w:val="24"/>
          <w:szCs w:val="24"/>
        </w:rPr>
        <w:t>Për 4 mujorin e parë të vitin 2019, janë arkëtuar :</w:t>
      </w:r>
    </w:p>
    <w:p w:rsidR="00B720E4" w:rsidRPr="008776B5" w:rsidRDefault="00B720E4" w:rsidP="007E124B">
      <w:pPr>
        <w:pStyle w:val="Title"/>
        <w:spacing w:line="276" w:lineRule="auto"/>
        <w:jc w:val="both"/>
        <w:rPr>
          <w:rFonts w:ascii="Times New Roman"/>
          <w:color w:val="0D0D0D" w:themeColor="text1" w:themeTint="F2"/>
          <w:sz w:val="24"/>
          <w:szCs w:val="24"/>
        </w:rPr>
      </w:pPr>
    </w:p>
    <w:p w:rsidR="003F3456" w:rsidRPr="008776B5" w:rsidRDefault="003F3456" w:rsidP="007E124B">
      <w:pPr>
        <w:pStyle w:val="Title"/>
        <w:numPr>
          <w:ilvl w:val="0"/>
          <w:numId w:val="26"/>
        </w:numPr>
        <w:spacing w:line="276" w:lineRule="auto"/>
        <w:jc w:val="both"/>
        <w:rPr>
          <w:rFonts w:ascii="Times New Roman" w:eastAsia="Batang"/>
          <w:color w:val="0D0D0D" w:themeColor="text1" w:themeTint="F2"/>
          <w:sz w:val="24"/>
          <w:szCs w:val="24"/>
        </w:rPr>
      </w:pPr>
      <w:r w:rsidRPr="008776B5">
        <w:rPr>
          <w:rFonts w:ascii="Times New Roman"/>
          <w:color w:val="0D0D0D" w:themeColor="text1" w:themeTint="F2"/>
          <w:sz w:val="24"/>
          <w:szCs w:val="24"/>
        </w:rPr>
        <w:t>Për sanksionet e vëna në vitin 2018, vlera e arkëtuar është në shumën 439</w:t>
      </w:r>
      <w:r w:rsidRPr="008776B5">
        <w:rPr>
          <w:rFonts w:ascii="Times New Roman" w:eastAsia="Batang"/>
          <w:color w:val="0D0D0D" w:themeColor="text1" w:themeTint="F2"/>
          <w:sz w:val="24"/>
          <w:szCs w:val="24"/>
        </w:rPr>
        <w:t xml:space="preserve"> (në mijë lek).</w:t>
      </w:r>
    </w:p>
    <w:p w:rsidR="006566C8" w:rsidRPr="009A3375" w:rsidRDefault="006566C8" w:rsidP="007E124B">
      <w:pPr>
        <w:spacing w:line="276" w:lineRule="auto"/>
        <w:jc w:val="both"/>
      </w:pPr>
    </w:p>
    <w:p w:rsidR="005D6E93" w:rsidRDefault="00CE171C" w:rsidP="007E124B">
      <w:pPr>
        <w:tabs>
          <w:tab w:val="left" w:pos="6765"/>
        </w:tabs>
        <w:spacing w:line="276" w:lineRule="auto"/>
        <w:jc w:val="both"/>
        <w:rPr>
          <w:rFonts w:eastAsia="Batang"/>
          <w:b/>
        </w:rPr>
      </w:pPr>
      <w:r w:rsidRPr="009A3375">
        <w:rPr>
          <w:rFonts w:eastAsia="Batang"/>
          <w:b/>
        </w:rPr>
        <w:t xml:space="preserve">                                                                                                               </w:t>
      </w:r>
    </w:p>
    <w:p w:rsidR="005D6E93" w:rsidRDefault="005D6E93" w:rsidP="007E124B">
      <w:pPr>
        <w:tabs>
          <w:tab w:val="left" w:pos="6765"/>
        </w:tabs>
        <w:spacing w:line="276" w:lineRule="auto"/>
        <w:jc w:val="both"/>
        <w:rPr>
          <w:rFonts w:eastAsia="Batang"/>
          <w:b/>
        </w:rPr>
      </w:pPr>
    </w:p>
    <w:p w:rsidR="005D6E93" w:rsidRDefault="005D6E93" w:rsidP="007E124B">
      <w:pPr>
        <w:tabs>
          <w:tab w:val="left" w:pos="6765"/>
        </w:tabs>
        <w:spacing w:line="276" w:lineRule="auto"/>
        <w:jc w:val="both"/>
        <w:rPr>
          <w:rFonts w:eastAsia="Batang"/>
          <w:b/>
        </w:rPr>
      </w:pPr>
    </w:p>
    <w:p w:rsidR="003433CE" w:rsidRPr="009A3375" w:rsidRDefault="005D6E93" w:rsidP="005D6E93">
      <w:pPr>
        <w:tabs>
          <w:tab w:val="left" w:pos="6765"/>
        </w:tabs>
        <w:spacing w:line="276" w:lineRule="auto"/>
        <w:jc w:val="both"/>
        <w:rPr>
          <w:rFonts w:eastAsia="Batang"/>
          <w:b/>
        </w:rPr>
      </w:pPr>
      <w:r>
        <w:rPr>
          <w:rFonts w:eastAsia="Batang"/>
          <w:b/>
        </w:rPr>
        <w:t xml:space="preserve">                                                                                                                </w:t>
      </w:r>
      <w:r w:rsidR="00CE171C" w:rsidRPr="009A3375">
        <w:rPr>
          <w:rFonts w:eastAsia="Batang"/>
          <w:b/>
        </w:rPr>
        <w:t xml:space="preserve"> </w:t>
      </w:r>
      <w:r w:rsidR="003433CE" w:rsidRPr="009A3375">
        <w:rPr>
          <w:rFonts w:eastAsia="Batang"/>
          <w:b/>
        </w:rPr>
        <w:t xml:space="preserve">KOMISIONERI </w:t>
      </w:r>
    </w:p>
    <w:p w:rsidR="003433CE" w:rsidRPr="009A3375" w:rsidRDefault="003433CE" w:rsidP="005D6E93">
      <w:pPr>
        <w:tabs>
          <w:tab w:val="left" w:pos="6765"/>
        </w:tabs>
        <w:spacing w:line="276" w:lineRule="auto"/>
        <w:jc w:val="both"/>
      </w:pPr>
    </w:p>
    <w:p w:rsidR="003433CE" w:rsidRPr="009A3375" w:rsidRDefault="003433CE" w:rsidP="005D6E93">
      <w:pPr>
        <w:tabs>
          <w:tab w:val="left" w:pos="6765"/>
        </w:tabs>
        <w:spacing w:line="276" w:lineRule="auto"/>
        <w:jc w:val="both"/>
      </w:pPr>
      <w:r w:rsidRPr="009A3375">
        <w:rPr>
          <w:rFonts w:eastAsia="Batang"/>
        </w:rPr>
        <w:tab/>
        <w:t xml:space="preserve"> </w:t>
      </w:r>
      <w:r w:rsidRPr="009A3375">
        <w:rPr>
          <w:rFonts w:eastAsia="Batang"/>
          <w:b/>
        </w:rPr>
        <w:t>Besnik Dervishi</w:t>
      </w:r>
      <w:r w:rsidRPr="009A3375">
        <w:rPr>
          <w:rFonts w:eastAsia="Batang"/>
        </w:rPr>
        <w:t xml:space="preserve"> </w:t>
      </w:r>
    </w:p>
    <w:p w:rsidR="00FB08A2" w:rsidRPr="009A3375" w:rsidRDefault="00FB08A2" w:rsidP="007E124B">
      <w:pPr>
        <w:spacing w:line="276" w:lineRule="auto"/>
        <w:jc w:val="both"/>
      </w:pPr>
    </w:p>
    <w:p w:rsidR="00FB08A2" w:rsidRPr="009A3375" w:rsidRDefault="00FB08A2" w:rsidP="007E124B">
      <w:pPr>
        <w:spacing w:line="276" w:lineRule="auto"/>
        <w:jc w:val="both"/>
      </w:pPr>
    </w:p>
    <w:p w:rsidR="00FB08A2" w:rsidRPr="009A3375" w:rsidRDefault="00FB08A2" w:rsidP="007E124B">
      <w:pPr>
        <w:spacing w:line="276" w:lineRule="auto"/>
        <w:jc w:val="both"/>
      </w:pPr>
    </w:p>
    <w:p w:rsidR="00FB08A2" w:rsidRPr="009A3375" w:rsidRDefault="00FB08A2" w:rsidP="007E124B">
      <w:pPr>
        <w:spacing w:line="276" w:lineRule="auto"/>
        <w:jc w:val="both"/>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5D6E93" w:rsidRDefault="005D6E93" w:rsidP="007E124B">
      <w:pPr>
        <w:spacing w:line="276" w:lineRule="auto"/>
      </w:pPr>
    </w:p>
    <w:p w:rsidR="00AA7CDD" w:rsidRPr="009A3375" w:rsidRDefault="00AA7CDD" w:rsidP="007E124B">
      <w:pPr>
        <w:spacing w:line="276" w:lineRule="auto"/>
      </w:pPr>
    </w:p>
    <w:sectPr w:rsidR="00AA7CDD" w:rsidRPr="009A3375" w:rsidSect="003318E3">
      <w:footerReference w:type="default" r:id="rId10"/>
      <w:pgSz w:w="11907" w:h="16839" w:code="9"/>
      <w:pgMar w:top="1134" w:right="1701" w:bottom="1134" w:left="1701"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E0C" w:rsidRDefault="00E45E0C">
      <w:r>
        <w:separator/>
      </w:r>
    </w:p>
  </w:endnote>
  <w:endnote w:type="continuationSeparator" w:id="0">
    <w:p w:rsidR="00E45E0C" w:rsidRDefault="00E4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5B" w:rsidRDefault="000D005B" w:rsidP="000D005B"/>
  <w:p w:rsidR="000D005B" w:rsidRDefault="00C31BB1"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0A0D1D"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000D005B" w:rsidRPr="009D51CA">
      <w:rPr>
        <w:sz w:val="16"/>
        <w:szCs w:val="16"/>
        <w:lang w:val="it-IT"/>
      </w:rPr>
      <w:t>Adresa:</w:t>
    </w:r>
    <w:r w:rsidR="000D005B" w:rsidRPr="009D51CA">
      <w:rPr>
        <w:bCs/>
        <w:sz w:val="16"/>
        <w:szCs w:val="16"/>
      </w:rPr>
      <w:t xml:space="preserve"> “Rr. </w:t>
    </w:r>
    <w:proofErr w:type="spellStart"/>
    <w:r w:rsidR="000D005B">
      <w:rPr>
        <w:bCs/>
        <w:sz w:val="16"/>
        <w:szCs w:val="16"/>
      </w:rPr>
      <w:t>Abdi</w:t>
    </w:r>
    <w:proofErr w:type="spellEnd"/>
    <w:r w:rsidR="000D005B">
      <w:rPr>
        <w:bCs/>
        <w:sz w:val="16"/>
        <w:szCs w:val="16"/>
      </w:rPr>
      <w:t xml:space="preserve"> </w:t>
    </w:r>
    <w:proofErr w:type="spellStart"/>
    <w:r w:rsidR="000D005B">
      <w:rPr>
        <w:bCs/>
        <w:sz w:val="16"/>
        <w:szCs w:val="16"/>
      </w:rPr>
      <w:t>Toptani</w:t>
    </w:r>
    <w:proofErr w:type="spellEnd"/>
    <w:r w:rsidR="000D005B" w:rsidRPr="009D51CA">
      <w:rPr>
        <w:bCs/>
        <w:sz w:val="16"/>
        <w:szCs w:val="16"/>
      </w:rPr>
      <w:t>,</w:t>
    </w:r>
    <w:r w:rsidR="000D005B">
      <w:rPr>
        <w:bCs/>
        <w:sz w:val="16"/>
        <w:szCs w:val="16"/>
      </w:rPr>
      <w:t xml:space="preserve"> Nd.5</w:t>
    </w:r>
    <w:r w:rsidR="000D005B" w:rsidRPr="009D51CA">
      <w:rPr>
        <w:bCs/>
        <w:sz w:val="16"/>
        <w:szCs w:val="16"/>
      </w:rPr>
      <w:t xml:space="preserve"> Tiran</w:t>
    </w:r>
    <w:r w:rsidR="0048228C">
      <w:rPr>
        <w:bCs/>
        <w:sz w:val="16"/>
        <w:szCs w:val="16"/>
      </w:rPr>
      <w:t>ë</w:t>
    </w:r>
    <w:r w:rsidR="000D005B" w:rsidRPr="009D51CA">
      <w:rPr>
        <w:bCs/>
        <w:sz w:val="16"/>
        <w:szCs w:val="16"/>
      </w:rPr>
      <w:t>”</w:t>
    </w:r>
    <w:r w:rsidR="00C52C6B">
      <w:rPr>
        <w:bCs/>
        <w:sz w:val="16"/>
        <w:szCs w:val="16"/>
      </w:rPr>
      <w:t>,</w:t>
    </w:r>
    <w:r w:rsidR="00F409AD">
      <w:rPr>
        <w:bCs/>
        <w:sz w:val="16"/>
        <w:szCs w:val="16"/>
      </w:rPr>
      <w:t xml:space="preserve">                                 </w:t>
    </w:r>
    <w:r w:rsidR="000D005B" w:rsidRPr="009D51CA">
      <w:rPr>
        <w:sz w:val="16"/>
        <w:szCs w:val="16"/>
      </w:rPr>
      <w:t>Telefon:00355 42237200</w:t>
    </w:r>
    <w:r w:rsidR="00C52C6B">
      <w:rPr>
        <w:sz w:val="16"/>
        <w:szCs w:val="16"/>
      </w:rPr>
      <w:t>,</w:t>
    </w:r>
    <w:r w:rsidR="00F409AD">
      <w:rPr>
        <w:sz w:val="16"/>
        <w:szCs w:val="16"/>
      </w:rPr>
      <w:t xml:space="preserve">                                </w:t>
    </w:r>
    <w:hyperlink r:id="rId1" w:history="1">
      <w:r w:rsidR="006D77C1" w:rsidRPr="003C1980">
        <w:rPr>
          <w:rStyle w:val="Hyperlink"/>
          <w:sz w:val="16"/>
          <w:szCs w:val="16"/>
        </w:rPr>
        <w:t>www.idp.al</w:t>
      </w:r>
    </w:hyperlink>
    <w:r w:rsidR="000D005B" w:rsidRPr="00A02BAF">
      <w:rPr>
        <w:color w:val="365F91" w:themeColor="accent1" w:themeShade="BF"/>
        <w:sz w:val="16"/>
        <w:szCs w:val="16"/>
        <w:u w:val="single"/>
      </w:rPr>
      <w:t xml:space="preserve"> info@idp.al</w:t>
    </w:r>
    <w:r w:rsidR="000D005B" w:rsidRPr="001B6125">
      <w:rPr>
        <w:color w:val="0070C0"/>
        <w:sz w:val="16"/>
        <w:szCs w:val="16"/>
      </w:rPr>
      <w:tab/>
    </w:r>
  </w:p>
  <w:p w:rsidR="008067EE" w:rsidRPr="005855EA" w:rsidRDefault="00E45E0C" w:rsidP="000D0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E0C" w:rsidRDefault="00E45E0C">
      <w:r>
        <w:separator/>
      </w:r>
    </w:p>
  </w:footnote>
  <w:footnote w:type="continuationSeparator" w:id="0">
    <w:p w:rsidR="00E45E0C" w:rsidRDefault="00E45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85pt;height:8.85pt" o:bullet="t">
        <v:imagedata r:id="rId1" o:title="BD15171_"/>
      </v:shape>
    </w:pict>
  </w:numPicBullet>
  <w:abstractNum w:abstractNumId="0">
    <w:nsid w:val="0AD962AA"/>
    <w:multiLevelType w:val="hybridMultilevel"/>
    <w:tmpl w:val="7C7ACAF0"/>
    <w:lvl w:ilvl="0" w:tplc="F638774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666AF"/>
    <w:multiLevelType w:val="hybridMultilevel"/>
    <w:tmpl w:val="A9409660"/>
    <w:lvl w:ilvl="0" w:tplc="876CACF6">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E7D0FD7"/>
    <w:multiLevelType w:val="hybridMultilevel"/>
    <w:tmpl w:val="B5B21DEC"/>
    <w:lvl w:ilvl="0" w:tplc="041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1E94120"/>
    <w:multiLevelType w:val="hybridMultilevel"/>
    <w:tmpl w:val="36827586"/>
    <w:lvl w:ilvl="0" w:tplc="A17C9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63250"/>
    <w:multiLevelType w:val="hybridMultilevel"/>
    <w:tmpl w:val="A6602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A4EB9"/>
    <w:multiLevelType w:val="hybridMultilevel"/>
    <w:tmpl w:val="9940AF9C"/>
    <w:lvl w:ilvl="0" w:tplc="819CDA80">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19B02624"/>
    <w:multiLevelType w:val="hybridMultilevel"/>
    <w:tmpl w:val="91BA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376"/>
    <w:multiLevelType w:val="hybridMultilevel"/>
    <w:tmpl w:val="8724D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D2DA0"/>
    <w:multiLevelType w:val="hybridMultilevel"/>
    <w:tmpl w:val="B5EA4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E40F12"/>
    <w:multiLevelType w:val="hybridMultilevel"/>
    <w:tmpl w:val="73A296D6"/>
    <w:lvl w:ilvl="0" w:tplc="041C0001">
      <w:start w:val="1"/>
      <w:numFmt w:val="bullet"/>
      <w:lvlText w:val=""/>
      <w:lvlJc w:val="left"/>
      <w:pPr>
        <w:ind w:left="720" w:hanging="360"/>
      </w:pPr>
      <w:rPr>
        <w:rFonts w:ascii="Symbol" w:hAnsi="Symbol" w:hint="default"/>
      </w:rPr>
    </w:lvl>
    <w:lvl w:ilvl="1" w:tplc="9B465E74">
      <w:numFmt w:val="bullet"/>
      <w:lvlText w:val="•"/>
      <w:lvlJc w:val="left"/>
      <w:pPr>
        <w:ind w:left="1440" w:hanging="360"/>
      </w:pPr>
      <w:rPr>
        <w:rFonts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287B2268"/>
    <w:multiLevelType w:val="hybridMultilevel"/>
    <w:tmpl w:val="6888A8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366298"/>
    <w:multiLevelType w:val="hybridMultilevel"/>
    <w:tmpl w:val="B756F1D6"/>
    <w:lvl w:ilvl="0" w:tplc="0409000B">
      <w:start w:val="1"/>
      <w:numFmt w:val="bullet"/>
      <w:lvlText w:val=""/>
      <w:lvlJc w:val="left"/>
      <w:pPr>
        <w:ind w:left="360" w:hanging="360"/>
      </w:pPr>
      <w:rPr>
        <w:rFonts w:ascii="Wingdings" w:hAnsi="Wingdings" w:hint="default"/>
      </w:rPr>
    </w:lvl>
    <w:lvl w:ilvl="1" w:tplc="041C0003">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nsid w:val="2B3A0DF0"/>
    <w:multiLevelType w:val="hybridMultilevel"/>
    <w:tmpl w:val="A8BE0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F01FF0"/>
    <w:multiLevelType w:val="hybridMultilevel"/>
    <w:tmpl w:val="F99C7298"/>
    <w:lvl w:ilvl="0" w:tplc="6C4C019C">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952F87"/>
    <w:multiLevelType w:val="hybridMultilevel"/>
    <w:tmpl w:val="EB9EC8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3563694"/>
    <w:multiLevelType w:val="hybridMultilevel"/>
    <w:tmpl w:val="15A26F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3853A0E"/>
    <w:multiLevelType w:val="hybridMultilevel"/>
    <w:tmpl w:val="975AEBFC"/>
    <w:lvl w:ilvl="0" w:tplc="ED927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931A8"/>
    <w:multiLevelType w:val="hybridMultilevel"/>
    <w:tmpl w:val="5A12E72C"/>
    <w:lvl w:ilvl="0" w:tplc="041C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7CC4F43"/>
    <w:multiLevelType w:val="hybridMultilevel"/>
    <w:tmpl w:val="F522BE9C"/>
    <w:lvl w:ilvl="0" w:tplc="6B8A27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7E7FB4"/>
    <w:multiLevelType w:val="hybridMultilevel"/>
    <w:tmpl w:val="0E286A7A"/>
    <w:lvl w:ilvl="0" w:tplc="8076C870">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1">
    <w:nsid w:val="3C3F1038"/>
    <w:multiLevelType w:val="hybridMultilevel"/>
    <w:tmpl w:val="C2363EAA"/>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nsid w:val="3D9238A1"/>
    <w:multiLevelType w:val="hybridMultilevel"/>
    <w:tmpl w:val="37B205DE"/>
    <w:lvl w:ilvl="0" w:tplc="041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1F43EA"/>
    <w:multiLevelType w:val="hybridMultilevel"/>
    <w:tmpl w:val="63CE4D04"/>
    <w:lvl w:ilvl="0" w:tplc="00BEE61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
    <w:nsid w:val="40CA3556"/>
    <w:multiLevelType w:val="hybridMultilevel"/>
    <w:tmpl w:val="549A0D30"/>
    <w:lvl w:ilvl="0" w:tplc="0409000B">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5">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1440"/>
        </w:tabs>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E124C"/>
    <w:multiLevelType w:val="hybridMultilevel"/>
    <w:tmpl w:val="730026B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7">
    <w:nsid w:val="49760AA8"/>
    <w:multiLevelType w:val="hybridMultilevel"/>
    <w:tmpl w:val="04C2D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054110"/>
    <w:multiLevelType w:val="hybridMultilevel"/>
    <w:tmpl w:val="83FA7AF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nsid w:val="53D42261"/>
    <w:multiLevelType w:val="hybridMultilevel"/>
    <w:tmpl w:val="C3E6D780"/>
    <w:lvl w:ilvl="0" w:tplc="EF4E15E2">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F4599"/>
    <w:multiLevelType w:val="hybridMultilevel"/>
    <w:tmpl w:val="C7E679F2"/>
    <w:lvl w:ilvl="0" w:tplc="2A24FADE">
      <w:numFmt w:val="bullet"/>
      <w:lvlText w:val=""/>
      <w:lvlJc w:val="left"/>
      <w:pPr>
        <w:ind w:left="720" w:hanging="360"/>
      </w:pPr>
      <w:rPr>
        <w:rFonts w:ascii="Symbol" w:eastAsiaTheme="minorHAnsi" w:hAnsi="Symbol" w:cstheme="maj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nsid w:val="5B8303B0"/>
    <w:multiLevelType w:val="hybridMultilevel"/>
    <w:tmpl w:val="470E6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EC79AF"/>
    <w:multiLevelType w:val="hybridMultilevel"/>
    <w:tmpl w:val="C41266B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5E565345"/>
    <w:multiLevelType w:val="hybridMultilevel"/>
    <w:tmpl w:val="7D1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6A63FA"/>
    <w:multiLevelType w:val="hybridMultilevel"/>
    <w:tmpl w:val="79EC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6">
    <w:nsid w:val="63AD274D"/>
    <w:multiLevelType w:val="hybridMultilevel"/>
    <w:tmpl w:val="D3DAE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02212B"/>
    <w:multiLevelType w:val="hybridMultilevel"/>
    <w:tmpl w:val="168E905C"/>
    <w:lvl w:ilvl="0" w:tplc="00BEE61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6A1F6B2B"/>
    <w:multiLevelType w:val="hybridMultilevel"/>
    <w:tmpl w:val="466647A6"/>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9">
    <w:nsid w:val="700012E2"/>
    <w:multiLevelType w:val="hybridMultilevel"/>
    <w:tmpl w:val="2BA4B132"/>
    <w:lvl w:ilvl="0" w:tplc="3C281D96">
      <w:start w:val="1"/>
      <w:numFmt w:val="bullet"/>
      <w:lvlText w:val=""/>
      <w:lvlPicBulletId w:val="0"/>
      <w:lvlJc w:val="left"/>
      <w:pPr>
        <w:ind w:left="63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71D66D9A"/>
    <w:multiLevelType w:val="hybridMultilevel"/>
    <w:tmpl w:val="0A62C0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2C7085"/>
    <w:multiLevelType w:val="hybridMultilevel"/>
    <w:tmpl w:val="D8E43C48"/>
    <w:lvl w:ilvl="0" w:tplc="F0E64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C4F4A"/>
    <w:multiLevelType w:val="hybridMultilevel"/>
    <w:tmpl w:val="4746B3B4"/>
    <w:lvl w:ilvl="0" w:tplc="20F819B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70842D0"/>
    <w:multiLevelType w:val="hybridMultilevel"/>
    <w:tmpl w:val="4F2A5634"/>
    <w:lvl w:ilvl="0" w:tplc="754EC7A8">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FA572C"/>
    <w:multiLevelType w:val="hybridMultilevel"/>
    <w:tmpl w:val="B70CF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FC5C2D"/>
    <w:multiLevelType w:val="hybridMultilevel"/>
    <w:tmpl w:val="18E2D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8552E8"/>
    <w:multiLevelType w:val="hybridMultilevel"/>
    <w:tmpl w:val="AAF864E0"/>
    <w:lvl w:ilvl="0" w:tplc="FFFFFFFF">
      <w:start w:val="1"/>
      <w:numFmt w:val="lowerLetter"/>
      <w:lvlText w:val="%1)"/>
      <w:lvlJc w:val="left"/>
      <w:pPr>
        <w:tabs>
          <w:tab w:val="num" w:pos="1800"/>
        </w:tabs>
        <w:ind w:left="180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5"/>
  </w:num>
  <w:num w:numId="2">
    <w:abstractNumId w:val="21"/>
  </w:num>
  <w:num w:numId="3">
    <w:abstractNumId w:val="5"/>
  </w:num>
  <w:num w:numId="4">
    <w:abstractNumId w:val="18"/>
  </w:num>
  <w:num w:numId="5">
    <w:abstractNumId w:val="44"/>
  </w:num>
  <w:num w:numId="6">
    <w:abstractNumId w:val="45"/>
  </w:num>
  <w:num w:numId="7">
    <w:abstractNumId w:val="3"/>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
  </w:num>
  <w:num w:numId="11">
    <w:abstractNumId w:val="38"/>
  </w:num>
  <w:num w:numId="12">
    <w:abstractNumId w:val="42"/>
  </w:num>
  <w:num w:numId="13">
    <w:abstractNumId w:val="41"/>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6"/>
  </w:num>
  <w:num w:numId="17">
    <w:abstractNumId w:val="17"/>
  </w:num>
  <w:num w:numId="18">
    <w:abstractNumId w:val="2"/>
  </w:num>
  <w:num w:numId="19">
    <w:abstractNumId w:val="14"/>
  </w:num>
  <w:num w:numId="20">
    <w:abstractNumId w:val="39"/>
  </w:num>
  <w:num w:numId="21">
    <w:abstractNumId w:val="12"/>
  </w:num>
  <w:num w:numId="22">
    <w:abstractNumId w:val="9"/>
  </w:num>
  <w:num w:numId="23">
    <w:abstractNumId w:val="40"/>
  </w:num>
  <w:num w:numId="24">
    <w:abstractNumId w:val="25"/>
  </w:num>
  <w:num w:numId="25">
    <w:abstractNumId w:val="23"/>
  </w:num>
  <w:num w:numId="26">
    <w:abstractNumId w:val="37"/>
  </w:num>
  <w:num w:numId="27">
    <w:abstractNumId w:val="36"/>
  </w:num>
  <w:num w:numId="28">
    <w:abstractNumId w:val="33"/>
  </w:num>
  <w:num w:numId="29">
    <w:abstractNumId w:val="31"/>
  </w:num>
  <w:num w:numId="30">
    <w:abstractNumId w:val="35"/>
  </w:num>
  <w:num w:numId="31">
    <w:abstractNumId w:val="1"/>
  </w:num>
  <w:num w:numId="32">
    <w:abstractNumId w:val="7"/>
  </w:num>
  <w:num w:numId="33">
    <w:abstractNumId w:val="43"/>
  </w:num>
  <w:num w:numId="34">
    <w:abstractNumId w:val="0"/>
  </w:num>
  <w:num w:numId="35">
    <w:abstractNumId w:val="30"/>
  </w:num>
  <w:num w:numId="36">
    <w:abstractNumId w:val="24"/>
  </w:num>
  <w:num w:numId="37">
    <w:abstractNumId w:val="11"/>
  </w:num>
  <w:num w:numId="38">
    <w:abstractNumId w:val="8"/>
  </w:num>
  <w:num w:numId="39">
    <w:abstractNumId w:val="27"/>
  </w:num>
  <w:num w:numId="40">
    <w:abstractNumId w:val="29"/>
  </w:num>
  <w:num w:numId="41">
    <w:abstractNumId w:val="19"/>
  </w:num>
  <w:num w:numId="42">
    <w:abstractNumId w:val="13"/>
  </w:num>
  <w:num w:numId="43">
    <w:abstractNumId w:val="16"/>
  </w:num>
  <w:num w:numId="44">
    <w:abstractNumId w:val="28"/>
  </w:num>
  <w:num w:numId="45">
    <w:abstractNumId w:val="6"/>
  </w:num>
  <w:num w:numId="46">
    <w:abstractNumId w:val="2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25DE5"/>
    <w:rsid w:val="00042D83"/>
    <w:rsid w:val="00051B79"/>
    <w:rsid w:val="00054E38"/>
    <w:rsid w:val="00062445"/>
    <w:rsid w:val="00071662"/>
    <w:rsid w:val="0008276B"/>
    <w:rsid w:val="0008679C"/>
    <w:rsid w:val="00090774"/>
    <w:rsid w:val="000D005B"/>
    <w:rsid w:val="000D66B1"/>
    <w:rsid w:val="000E3823"/>
    <w:rsid w:val="000F2C7F"/>
    <w:rsid w:val="000F5EC4"/>
    <w:rsid w:val="001133CC"/>
    <w:rsid w:val="00116929"/>
    <w:rsid w:val="00121A75"/>
    <w:rsid w:val="001277D3"/>
    <w:rsid w:val="0013264C"/>
    <w:rsid w:val="00145E50"/>
    <w:rsid w:val="001511AE"/>
    <w:rsid w:val="00153F45"/>
    <w:rsid w:val="00156666"/>
    <w:rsid w:val="00167DF4"/>
    <w:rsid w:val="001720A5"/>
    <w:rsid w:val="00172FD6"/>
    <w:rsid w:val="00175EF3"/>
    <w:rsid w:val="00180FD0"/>
    <w:rsid w:val="00182566"/>
    <w:rsid w:val="00190373"/>
    <w:rsid w:val="001A6E30"/>
    <w:rsid w:val="001C324F"/>
    <w:rsid w:val="001D6BB1"/>
    <w:rsid w:val="001D6C97"/>
    <w:rsid w:val="001E50D2"/>
    <w:rsid w:val="001E62B6"/>
    <w:rsid w:val="001F2826"/>
    <w:rsid w:val="001F2A99"/>
    <w:rsid w:val="001F3088"/>
    <w:rsid w:val="001F481D"/>
    <w:rsid w:val="001F689D"/>
    <w:rsid w:val="002053C0"/>
    <w:rsid w:val="00207B11"/>
    <w:rsid w:val="00225F82"/>
    <w:rsid w:val="002307E7"/>
    <w:rsid w:val="0023101E"/>
    <w:rsid w:val="002355F6"/>
    <w:rsid w:val="00242270"/>
    <w:rsid w:val="00242F25"/>
    <w:rsid w:val="00243728"/>
    <w:rsid w:val="002444C4"/>
    <w:rsid w:val="00246061"/>
    <w:rsid w:val="002631A5"/>
    <w:rsid w:val="0026746E"/>
    <w:rsid w:val="002752D4"/>
    <w:rsid w:val="002816AD"/>
    <w:rsid w:val="00291B97"/>
    <w:rsid w:val="0029582B"/>
    <w:rsid w:val="002A3745"/>
    <w:rsid w:val="002A3BD9"/>
    <w:rsid w:val="002A57A7"/>
    <w:rsid w:val="002B5C23"/>
    <w:rsid w:val="002B66F0"/>
    <w:rsid w:val="002B76D2"/>
    <w:rsid w:val="002D7683"/>
    <w:rsid w:val="002E7F4E"/>
    <w:rsid w:val="002F20E2"/>
    <w:rsid w:val="002F53B8"/>
    <w:rsid w:val="002F7CB0"/>
    <w:rsid w:val="00321271"/>
    <w:rsid w:val="003318E3"/>
    <w:rsid w:val="00341CCD"/>
    <w:rsid w:val="00342679"/>
    <w:rsid w:val="003433CE"/>
    <w:rsid w:val="003467D1"/>
    <w:rsid w:val="00356762"/>
    <w:rsid w:val="00357E39"/>
    <w:rsid w:val="003651E2"/>
    <w:rsid w:val="00382535"/>
    <w:rsid w:val="00385F1D"/>
    <w:rsid w:val="00397223"/>
    <w:rsid w:val="003A22F6"/>
    <w:rsid w:val="003A33F8"/>
    <w:rsid w:val="003A4554"/>
    <w:rsid w:val="003A5DE9"/>
    <w:rsid w:val="003B469F"/>
    <w:rsid w:val="003D1B50"/>
    <w:rsid w:val="003D27D2"/>
    <w:rsid w:val="003E1CF4"/>
    <w:rsid w:val="003E1FC1"/>
    <w:rsid w:val="003E2368"/>
    <w:rsid w:val="003E3CAB"/>
    <w:rsid w:val="003F2259"/>
    <w:rsid w:val="003F3456"/>
    <w:rsid w:val="004001A5"/>
    <w:rsid w:val="00401FB3"/>
    <w:rsid w:val="004329D1"/>
    <w:rsid w:val="00434D7E"/>
    <w:rsid w:val="0043552A"/>
    <w:rsid w:val="00436C33"/>
    <w:rsid w:val="00447A3C"/>
    <w:rsid w:val="00456A4C"/>
    <w:rsid w:val="0048228C"/>
    <w:rsid w:val="00487D8D"/>
    <w:rsid w:val="00490279"/>
    <w:rsid w:val="004A1B74"/>
    <w:rsid w:val="004C1BA7"/>
    <w:rsid w:val="004C7568"/>
    <w:rsid w:val="004D7CC9"/>
    <w:rsid w:val="004F5EBD"/>
    <w:rsid w:val="005010E7"/>
    <w:rsid w:val="0050708D"/>
    <w:rsid w:val="00511183"/>
    <w:rsid w:val="0051156C"/>
    <w:rsid w:val="0052323A"/>
    <w:rsid w:val="0052360C"/>
    <w:rsid w:val="0053465F"/>
    <w:rsid w:val="00535B32"/>
    <w:rsid w:val="00536D6A"/>
    <w:rsid w:val="00545CA9"/>
    <w:rsid w:val="005468A6"/>
    <w:rsid w:val="005508D8"/>
    <w:rsid w:val="005537C8"/>
    <w:rsid w:val="00556F85"/>
    <w:rsid w:val="00562AA7"/>
    <w:rsid w:val="005725F0"/>
    <w:rsid w:val="00575816"/>
    <w:rsid w:val="005922FF"/>
    <w:rsid w:val="005A2E96"/>
    <w:rsid w:val="005B3A4B"/>
    <w:rsid w:val="005C6C4D"/>
    <w:rsid w:val="005D6E93"/>
    <w:rsid w:val="005E40EF"/>
    <w:rsid w:val="005F2CE4"/>
    <w:rsid w:val="0065380F"/>
    <w:rsid w:val="006566C8"/>
    <w:rsid w:val="00662C70"/>
    <w:rsid w:val="00663DBC"/>
    <w:rsid w:val="00667B75"/>
    <w:rsid w:val="00681900"/>
    <w:rsid w:val="006A0A02"/>
    <w:rsid w:val="006A75FB"/>
    <w:rsid w:val="006B0F35"/>
    <w:rsid w:val="006B43FE"/>
    <w:rsid w:val="006C1A25"/>
    <w:rsid w:val="006C3F65"/>
    <w:rsid w:val="006C4787"/>
    <w:rsid w:val="006D4943"/>
    <w:rsid w:val="006D77C1"/>
    <w:rsid w:val="006E1BFB"/>
    <w:rsid w:val="006E28BF"/>
    <w:rsid w:val="006E43BC"/>
    <w:rsid w:val="006F5402"/>
    <w:rsid w:val="00706405"/>
    <w:rsid w:val="00712FEF"/>
    <w:rsid w:val="0073050B"/>
    <w:rsid w:val="0074505B"/>
    <w:rsid w:val="00754285"/>
    <w:rsid w:val="00762000"/>
    <w:rsid w:val="007648BC"/>
    <w:rsid w:val="007757C8"/>
    <w:rsid w:val="00775DFA"/>
    <w:rsid w:val="0077621E"/>
    <w:rsid w:val="00782FDE"/>
    <w:rsid w:val="007879EC"/>
    <w:rsid w:val="007A04DB"/>
    <w:rsid w:val="007B16CC"/>
    <w:rsid w:val="007B198B"/>
    <w:rsid w:val="007B261E"/>
    <w:rsid w:val="007D4692"/>
    <w:rsid w:val="007E06B8"/>
    <w:rsid w:val="007E124B"/>
    <w:rsid w:val="007E5E8C"/>
    <w:rsid w:val="007F68ED"/>
    <w:rsid w:val="008003A3"/>
    <w:rsid w:val="00800E54"/>
    <w:rsid w:val="00800EDE"/>
    <w:rsid w:val="008011E5"/>
    <w:rsid w:val="008017B4"/>
    <w:rsid w:val="00802A50"/>
    <w:rsid w:val="008109FA"/>
    <w:rsid w:val="008111B8"/>
    <w:rsid w:val="00837383"/>
    <w:rsid w:val="0084017A"/>
    <w:rsid w:val="00847462"/>
    <w:rsid w:val="00861E98"/>
    <w:rsid w:val="008637BE"/>
    <w:rsid w:val="00864C93"/>
    <w:rsid w:val="00864D7E"/>
    <w:rsid w:val="00866C61"/>
    <w:rsid w:val="00872858"/>
    <w:rsid w:val="008776B5"/>
    <w:rsid w:val="008802D5"/>
    <w:rsid w:val="00885ACA"/>
    <w:rsid w:val="008872CC"/>
    <w:rsid w:val="00890F90"/>
    <w:rsid w:val="00891D1A"/>
    <w:rsid w:val="00894ECD"/>
    <w:rsid w:val="008B5BA4"/>
    <w:rsid w:val="008C1D74"/>
    <w:rsid w:val="008D1D46"/>
    <w:rsid w:val="008E6199"/>
    <w:rsid w:val="008F2362"/>
    <w:rsid w:val="008F5D98"/>
    <w:rsid w:val="008F6220"/>
    <w:rsid w:val="008F6A46"/>
    <w:rsid w:val="009013CB"/>
    <w:rsid w:val="00911613"/>
    <w:rsid w:val="00912C37"/>
    <w:rsid w:val="00922FF8"/>
    <w:rsid w:val="0092613A"/>
    <w:rsid w:val="009332BA"/>
    <w:rsid w:val="00936336"/>
    <w:rsid w:val="00937188"/>
    <w:rsid w:val="009418FB"/>
    <w:rsid w:val="00964DE4"/>
    <w:rsid w:val="00972864"/>
    <w:rsid w:val="009830F6"/>
    <w:rsid w:val="00995145"/>
    <w:rsid w:val="00995F3A"/>
    <w:rsid w:val="009A3375"/>
    <w:rsid w:val="009C4225"/>
    <w:rsid w:val="009E16CB"/>
    <w:rsid w:val="009E3868"/>
    <w:rsid w:val="00A007EF"/>
    <w:rsid w:val="00A026DB"/>
    <w:rsid w:val="00A039B4"/>
    <w:rsid w:val="00A10EC5"/>
    <w:rsid w:val="00A15680"/>
    <w:rsid w:val="00A323F0"/>
    <w:rsid w:val="00A33014"/>
    <w:rsid w:val="00A403F9"/>
    <w:rsid w:val="00A448AE"/>
    <w:rsid w:val="00A82827"/>
    <w:rsid w:val="00A90A1F"/>
    <w:rsid w:val="00A922DB"/>
    <w:rsid w:val="00AA711C"/>
    <w:rsid w:val="00AA7B1E"/>
    <w:rsid w:val="00AA7CDD"/>
    <w:rsid w:val="00AB11E7"/>
    <w:rsid w:val="00AD07EF"/>
    <w:rsid w:val="00AD69F3"/>
    <w:rsid w:val="00AD6F43"/>
    <w:rsid w:val="00AE04B4"/>
    <w:rsid w:val="00AE3A52"/>
    <w:rsid w:val="00B17F73"/>
    <w:rsid w:val="00B322CC"/>
    <w:rsid w:val="00B45BDE"/>
    <w:rsid w:val="00B4607D"/>
    <w:rsid w:val="00B46BCF"/>
    <w:rsid w:val="00B51B57"/>
    <w:rsid w:val="00B67628"/>
    <w:rsid w:val="00B70117"/>
    <w:rsid w:val="00B720E4"/>
    <w:rsid w:val="00B77E89"/>
    <w:rsid w:val="00B80D34"/>
    <w:rsid w:val="00B902A6"/>
    <w:rsid w:val="00B92571"/>
    <w:rsid w:val="00B93298"/>
    <w:rsid w:val="00B9634F"/>
    <w:rsid w:val="00BA5F9B"/>
    <w:rsid w:val="00BA690D"/>
    <w:rsid w:val="00BB1F3D"/>
    <w:rsid w:val="00BB40B2"/>
    <w:rsid w:val="00BC4E16"/>
    <w:rsid w:val="00BD581E"/>
    <w:rsid w:val="00BD7AF3"/>
    <w:rsid w:val="00BE059C"/>
    <w:rsid w:val="00BE05DA"/>
    <w:rsid w:val="00BF2C38"/>
    <w:rsid w:val="00BF3680"/>
    <w:rsid w:val="00C0549D"/>
    <w:rsid w:val="00C05691"/>
    <w:rsid w:val="00C140E5"/>
    <w:rsid w:val="00C2423E"/>
    <w:rsid w:val="00C31BB1"/>
    <w:rsid w:val="00C349F5"/>
    <w:rsid w:val="00C34D0B"/>
    <w:rsid w:val="00C34E19"/>
    <w:rsid w:val="00C37E05"/>
    <w:rsid w:val="00C40CA7"/>
    <w:rsid w:val="00C46F97"/>
    <w:rsid w:val="00C52C6B"/>
    <w:rsid w:val="00C53018"/>
    <w:rsid w:val="00C539D0"/>
    <w:rsid w:val="00C637F4"/>
    <w:rsid w:val="00C64D27"/>
    <w:rsid w:val="00C71338"/>
    <w:rsid w:val="00C826C9"/>
    <w:rsid w:val="00C9054B"/>
    <w:rsid w:val="00C96785"/>
    <w:rsid w:val="00CA1DA9"/>
    <w:rsid w:val="00CB22E1"/>
    <w:rsid w:val="00CD549B"/>
    <w:rsid w:val="00CE171C"/>
    <w:rsid w:val="00D051E3"/>
    <w:rsid w:val="00D15261"/>
    <w:rsid w:val="00D22ADF"/>
    <w:rsid w:val="00D24FE7"/>
    <w:rsid w:val="00D26648"/>
    <w:rsid w:val="00D30B3A"/>
    <w:rsid w:val="00D34F27"/>
    <w:rsid w:val="00D35561"/>
    <w:rsid w:val="00D36C6A"/>
    <w:rsid w:val="00D37354"/>
    <w:rsid w:val="00D52C6A"/>
    <w:rsid w:val="00D5388D"/>
    <w:rsid w:val="00D538B7"/>
    <w:rsid w:val="00D67FE7"/>
    <w:rsid w:val="00DA4EE2"/>
    <w:rsid w:val="00DA5254"/>
    <w:rsid w:val="00DA62C4"/>
    <w:rsid w:val="00DA6935"/>
    <w:rsid w:val="00DB3A6F"/>
    <w:rsid w:val="00DB3FFE"/>
    <w:rsid w:val="00DB4E43"/>
    <w:rsid w:val="00DD591A"/>
    <w:rsid w:val="00DD7639"/>
    <w:rsid w:val="00DF5957"/>
    <w:rsid w:val="00DF6E6A"/>
    <w:rsid w:val="00E0425A"/>
    <w:rsid w:val="00E042DA"/>
    <w:rsid w:val="00E133F5"/>
    <w:rsid w:val="00E148ED"/>
    <w:rsid w:val="00E34E82"/>
    <w:rsid w:val="00E43105"/>
    <w:rsid w:val="00E45E0C"/>
    <w:rsid w:val="00E475F2"/>
    <w:rsid w:val="00E50398"/>
    <w:rsid w:val="00E5134C"/>
    <w:rsid w:val="00E52BE0"/>
    <w:rsid w:val="00E56E6D"/>
    <w:rsid w:val="00E664C0"/>
    <w:rsid w:val="00E9487F"/>
    <w:rsid w:val="00E96AA7"/>
    <w:rsid w:val="00EA0D51"/>
    <w:rsid w:val="00EA0FC1"/>
    <w:rsid w:val="00EA2A68"/>
    <w:rsid w:val="00EE6090"/>
    <w:rsid w:val="00EE772D"/>
    <w:rsid w:val="00EF7B85"/>
    <w:rsid w:val="00F03B1A"/>
    <w:rsid w:val="00F144D4"/>
    <w:rsid w:val="00F14B83"/>
    <w:rsid w:val="00F17139"/>
    <w:rsid w:val="00F217D9"/>
    <w:rsid w:val="00F26577"/>
    <w:rsid w:val="00F2669D"/>
    <w:rsid w:val="00F30333"/>
    <w:rsid w:val="00F3420C"/>
    <w:rsid w:val="00F409AD"/>
    <w:rsid w:val="00F40EF6"/>
    <w:rsid w:val="00F47494"/>
    <w:rsid w:val="00F51557"/>
    <w:rsid w:val="00F53F4B"/>
    <w:rsid w:val="00F557BF"/>
    <w:rsid w:val="00F574C7"/>
    <w:rsid w:val="00F61A2F"/>
    <w:rsid w:val="00F6598D"/>
    <w:rsid w:val="00F66764"/>
    <w:rsid w:val="00F74B77"/>
    <w:rsid w:val="00F97851"/>
    <w:rsid w:val="00FA2D55"/>
    <w:rsid w:val="00FB08A2"/>
    <w:rsid w:val="00FB4E1E"/>
    <w:rsid w:val="00FC1C84"/>
    <w:rsid w:val="00FC27B4"/>
    <w:rsid w:val="00FC4BD7"/>
    <w:rsid w:val="00FD14E7"/>
    <w:rsid w:val="00FD427A"/>
    <w:rsid w:val="00FD5A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6A03DB-EA19-4944-8346-F13F013D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8E722-6589-4625-B5E4-9A89F54A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4189</Words>
  <Characters>23882</Characters>
  <Application>Microsoft Office Word</Application>
  <DocSecurity>0</DocSecurity>
  <Lines>199</Lines>
  <Paragraphs>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2019-05-30T07:46:00Z</cp:lastPrinted>
  <dcterms:created xsi:type="dcterms:W3CDTF">2019-05-29T13:55:00Z</dcterms:created>
  <dcterms:modified xsi:type="dcterms:W3CDTF">2019-05-30T12:03:00Z</dcterms:modified>
</cp:coreProperties>
</file>