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FE7" w:rsidRPr="00C37BB4" w:rsidRDefault="00A80E76" w:rsidP="00D24FE7">
      <w:pPr>
        <w:tabs>
          <w:tab w:val="left" w:pos="9000"/>
        </w:tabs>
        <w:autoSpaceDE w:val="0"/>
        <w:autoSpaceDN w:val="0"/>
        <w:adjustRightInd w:val="0"/>
        <w:rPr>
          <w:b/>
        </w:rPr>
      </w:pPr>
      <w:r>
        <w:rPr>
          <w:noProof/>
          <w:lang w:val="en-US" w:eastAsia="en-US"/>
        </w:rPr>
        <mc:AlternateContent>
          <mc:Choice Requires="wps">
            <w:drawing>
              <wp:anchor distT="4294967293" distB="4294967293" distL="114300" distR="114300" simplePos="0" relativeHeight="251657216" behindDoc="0" locked="0" layoutInCell="1" allowOverlap="1">
                <wp:simplePos x="0" y="0"/>
                <wp:positionH relativeFrom="column">
                  <wp:posOffset>34290</wp:posOffset>
                </wp:positionH>
                <wp:positionV relativeFrom="paragraph">
                  <wp:posOffset>469264</wp:posOffset>
                </wp:positionV>
                <wp:extent cx="2447925" cy="0"/>
                <wp:effectExtent l="0" t="0" r="28575"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49C0AA" id="_x0000_t32" coordsize="21600,21600" o:spt="32" o:oned="t" path="m,l21600,21600e" filled="f">
                <v:path arrowok="t" fillok="f" o:connecttype="none"/>
                <o:lock v:ext="edit" shapetype="t"/>
              </v:shapetype>
              <v:shape id="AutoShape 3" o:spid="_x0000_s1026" type="#_x0000_t32" style="position:absolute;margin-left:2.7pt;margin-top:36.95pt;width:192.7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" strokecolor="black [3213]" strokeweight="1pt"/>
            </w:pict>
          </mc:Fallback>
        </mc:AlternateContent>
      </w:r>
      <w:r>
        <w:rPr>
          <w:noProof/>
          <w:lang w:val="en-US" w:eastAsia="en-US"/>
        </w:rPr>
        <mc:AlternateContent>
          <mc:Choice Requires="wps">
            <w:drawing>
              <wp:anchor distT="4294967293" distB="4294967293" distL="114300" distR="114300" simplePos="0" relativeHeight="251658240" behindDoc="0" locked="0" layoutInCell="1" allowOverlap="1">
                <wp:simplePos x="0" y="0"/>
                <wp:positionH relativeFrom="column">
                  <wp:posOffset>2919730</wp:posOffset>
                </wp:positionH>
                <wp:positionV relativeFrom="paragraph">
                  <wp:posOffset>468629</wp:posOffset>
                </wp:positionV>
                <wp:extent cx="2447925" cy="0"/>
                <wp:effectExtent l="0" t="0" r="28575" b="1905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D0335" id="AutoShape 4" o:spid="_x0000_s1026" type="#_x0000_t32" style="position:absolute;margin-left:229.9pt;margin-top:36.9pt;width:192.7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" strokecolor="black [3213]" strokeweight="1pt"/>
            </w:pict>
          </mc:Fallback>
        </mc:AlternateContent>
      </w:r>
      <w:r w:rsidR="00BC2353">
        <w:t xml:space="preserve">                                                                  </w:t>
      </w:r>
      <w:r w:rsidR="00D24FE7" w:rsidRPr="00C37BB4">
        <w:object w:dxaOrig="2175" w:dyaOrig="3150">
          <v:shape id="_x0000_i1026" type="#_x0000_t75" style="width:34.75pt;height:42.2pt" o:ole="" o:preferrelative="f" fillcolor="window">
            <v:imagedata r:id="rId8" o:title=""/>
            <o:lock v:ext="edit" aspectratio="f"/>
          </v:shape>
          <o:OLEObject Type="Embed" ProgID="Unknown" ShapeID="_x0000_i1026" DrawAspect="Content" ObjectID="_1675596268" r:id="rId9"/>
        </w:object>
      </w:r>
    </w:p>
    <w:p w:rsidR="00D24FE7" w:rsidRPr="00004B0D" w:rsidRDefault="00D24FE7" w:rsidP="00D24FE7">
      <w:pPr>
        <w:pStyle w:val="Heading2"/>
        <w:spacing w:after="240"/>
        <w:jc w:val="center"/>
        <w:rPr>
          <w:sz w:val="20"/>
          <w:szCs w:val="20"/>
        </w:rPr>
      </w:pPr>
      <w:r w:rsidRPr="00004B0D">
        <w:rPr>
          <w:sz w:val="20"/>
          <w:szCs w:val="20"/>
        </w:rPr>
        <w:t>R E P U B L I K A   E   S H Q I P Ë R I S Ë</w:t>
      </w:r>
    </w:p>
    <w:p w:rsidR="007578F5" w:rsidRPr="00A80E76" w:rsidRDefault="00D24FE7" w:rsidP="00A80E76">
      <w:pPr>
        <w:jc w:val="center"/>
        <w:rPr>
          <w:b/>
        </w:rPr>
      </w:pPr>
      <w:r w:rsidRPr="00C37BB4">
        <w:rPr>
          <w:b/>
        </w:rPr>
        <w:t>KOMISIONERI PËR TË DREJTËN E INFORMIMIT DHE MBROJTJEN E TË DHËNAVE PERSONALE</w:t>
      </w:r>
    </w:p>
    <w:p w:rsidR="00B4607D" w:rsidRPr="00C82E1F" w:rsidRDefault="00B4607D" w:rsidP="00B4607D">
      <w:pPr>
        <w:jc w:val="center"/>
      </w:pPr>
      <w:r>
        <w:t xml:space="preserve">GRUPI I MENAXHIMIT STRATEGJIK </w:t>
      </w:r>
    </w:p>
    <w:p w:rsidR="00D24FE7" w:rsidRPr="00B24E43" w:rsidRDefault="00D24FE7" w:rsidP="00D24FE7"/>
    <w:p w:rsidR="00D24FE7" w:rsidRDefault="00D24FE7" w:rsidP="00D24FE7">
      <w:r w:rsidRPr="00B6534C">
        <w:t>Nr._______prot.</w:t>
      </w:r>
      <w:r w:rsidRPr="00B6534C">
        <w:tab/>
      </w:r>
      <w:r w:rsidRPr="00B6534C">
        <w:tab/>
      </w:r>
      <w:r w:rsidRPr="00B6534C">
        <w:tab/>
      </w:r>
      <w:r w:rsidRPr="00B6534C">
        <w:tab/>
      </w:r>
      <w:r>
        <w:t xml:space="preserve">                                 Tiranë më __.__.20</w:t>
      </w:r>
      <w:r w:rsidR="0087735F">
        <w:t>2</w:t>
      </w:r>
      <w:r w:rsidR="009A2F8D">
        <w:t>1</w:t>
      </w:r>
    </w:p>
    <w:p w:rsidR="00B4607D" w:rsidRDefault="00B4607D" w:rsidP="007578F5">
      <w:pPr>
        <w:jc w:val="both"/>
      </w:pPr>
    </w:p>
    <w:p w:rsidR="003A33F8" w:rsidRPr="00FE70F7" w:rsidRDefault="003A33F8" w:rsidP="007578F5">
      <w:pPr>
        <w:spacing w:line="276" w:lineRule="auto"/>
        <w:ind w:left="900" w:right="434" w:hanging="900"/>
        <w:jc w:val="both"/>
      </w:pPr>
      <w:r w:rsidRPr="00FE70F7">
        <w:t>Lë</w:t>
      </w:r>
      <w:r w:rsidR="00C400D3">
        <w:t xml:space="preserve">nda: </w:t>
      </w:r>
      <w:r w:rsidR="00004B0D" w:rsidRPr="00FE70F7">
        <w:t xml:space="preserve">Raport i monitorimit mbi </w:t>
      </w:r>
      <w:r w:rsidR="00DD07BD">
        <w:t>treguesit e performancës për vitin 2020</w:t>
      </w:r>
    </w:p>
    <w:p w:rsidR="00EB0947" w:rsidRDefault="00EB0947" w:rsidP="00F52608">
      <w:pPr>
        <w:spacing w:line="276" w:lineRule="auto"/>
        <w:jc w:val="both"/>
      </w:pPr>
    </w:p>
    <w:p w:rsidR="003672D8" w:rsidRPr="00C400D3" w:rsidRDefault="00DD07BD" w:rsidP="000F7C1E">
      <w:pPr>
        <w:spacing w:line="276" w:lineRule="auto"/>
        <w:jc w:val="both"/>
        <w:rPr>
          <w:color w:val="0D0D0D" w:themeColor="text1" w:themeTint="F2"/>
        </w:rPr>
      </w:pPr>
      <w:r w:rsidRPr="00C400D3">
        <w:rPr>
          <w:color w:val="0D0D0D" w:themeColor="text1" w:themeTint="F2"/>
        </w:rPr>
        <w:t xml:space="preserve">Në mbështetje të Ligjit nr. 9936, datë 26.06.2008 “Për menaxhimin e sistemit buxhetor në Republikën e Shqipërisë”, i ndryshuar, Ligjit nr.10296, datë 8.07.2010                              “Për menaxhimin financiar dhe kontrollin”, i ndryshuar, </w:t>
      </w:r>
      <w:r w:rsidRPr="00C400D3">
        <w:rPr>
          <w:color w:val="0D0D0D" w:themeColor="text1" w:themeTint="F2"/>
          <w:lang w:val="it-IT"/>
        </w:rPr>
        <w:t xml:space="preserve">Ligjit </w:t>
      </w:r>
      <w:r w:rsidRPr="00C400D3">
        <w:rPr>
          <w:color w:val="0D0D0D" w:themeColor="text1" w:themeTint="F2"/>
        </w:rPr>
        <w:t xml:space="preserve">nr.88/2019 “Për buxhetin e vitit 2020”, Udhëzimit nr.9 datë 20.03.2018, “Për procedurat standarde të zbatimit të Buxhetit”, Udhëzimit plotësues nr.2, datë 20/01/2020 “Për zbatimin e buxhetit të vitit 2020”, Zyra e Komisionerit, </w:t>
      </w:r>
      <w:r w:rsidR="003672D8" w:rsidRPr="00C400D3">
        <w:rPr>
          <w:color w:val="0D0D0D" w:themeColor="text1" w:themeTint="F2"/>
        </w:rPr>
        <w:t>me anë të këtij relacioni/raporti saktësojmë informacionin mbi efektivitetin e përdorimit të fondeve buxhetore dhe performancën e produkteve të realizuara për Vitin 2020 të Zyrës së Komisionerit për të Drejtën e</w:t>
      </w:r>
      <w:r w:rsidR="00C400D3">
        <w:rPr>
          <w:color w:val="0D0D0D" w:themeColor="text1" w:themeTint="F2"/>
        </w:rPr>
        <w:t xml:space="preserve"> Informimit dhe Mbrojtjen e të Dhënave P</w:t>
      </w:r>
      <w:r w:rsidR="003672D8" w:rsidRPr="00C400D3">
        <w:rPr>
          <w:color w:val="0D0D0D" w:themeColor="text1" w:themeTint="F2"/>
        </w:rPr>
        <w:t>ersonale ( këtej e tutje “ Zyra e Komisionerit” ose KDIMDP).</w:t>
      </w:r>
    </w:p>
    <w:p w:rsidR="00DD07BD" w:rsidRPr="00C400D3" w:rsidRDefault="00DD07BD" w:rsidP="000F7C1E">
      <w:pPr>
        <w:spacing w:line="276" w:lineRule="auto"/>
        <w:jc w:val="both"/>
        <w:rPr>
          <w:color w:val="0D0D0D" w:themeColor="text1" w:themeTint="F2"/>
        </w:rPr>
      </w:pPr>
      <w:r w:rsidRPr="00C400D3">
        <w:rPr>
          <w:color w:val="0D0D0D" w:themeColor="text1" w:themeTint="F2"/>
        </w:rPr>
        <w:t xml:space="preserve">Monitorimi </w:t>
      </w:r>
      <w:r w:rsidR="003672D8" w:rsidRPr="00C400D3">
        <w:rPr>
          <w:color w:val="0D0D0D" w:themeColor="text1" w:themeTint="F2"/>
        </w:rPr>
        <w:t>ë</w:t>
      </w:r>
      <w:r w:rsidRPr="00C400D3">
        <w:rPr>
          <w:color w:val="0D0D0D" w:themeColor="text1" w:themeTint="F2"/>
        </w:rPr>
        <w:t>sht</w:t>
      </w:r>
      <w:r w:rsidR="003672D8" w:rsidRPr="00C400D3">
        <w:rPr>
          <w:color w:val="0D0D0D" w:themeColor="text1" w:themeTint="F2"/>
        </w:rPr>
        <w:t>ë</w:t>
      </w:r>
      <w:r w:rsidRPr="00C400D3">
        <w:rPr>
          <w:color w:val="0D0D0D" w:themeColor="text1" w:themeTint="F2"/>
        </w:rPr>
        <w:t xml:space="preserve"> një proçes vlerësimi performance, i cili realizohet nëpërmjet krahasimit të treguesve faktikë të performancës me ato të planifikuara. </w:t>
      </w:r>
      <w:r w:rsidR="003672D8" w:rsidRPr="00C400D3">
        <w:t>Ë</w:t>
      </w:r>
      <w:r w:rsidRPr="00C400D3">
        <w:rPr>
          <w:color w:val="0D0D0D" w:themeColor="text1" w:themeTint="F2"/>
        </w:rPr>
        <w:t>sht</w:t>
      </w:r>
      <w:r w:rsidR="003672D8" w:rsidRPr="00C400D3">
        <w:rPr>
          <w:color w:val="0D0D0D" w:themeColor="text1" w:themeTint="F2"/>
        </w:rPr>
        <w:t>ë</w:t>
      </w:r>
      <w:r w:rsidRPr="00C400D3">
        <w:rPr>
          <w:color w:val="0D0D0D" w:themeColor="text1" w:themeTint="F2"/>
        </w:rPr>
        <w:t xml:space="preserve"> proçesi që lidh realizimin e objektivave dhe produkteve me fondet përkatëse të planifikuara për arritjen e tyre. </w:t>
      </w:r>
    </w:p>
    <w:p w:rsidR="00006A86" w:rsidRPr="00C400D3" w:rsidRDefault="00C400D3" w:rsidP="000F7C1E">
      <w:pPr>
        <w:spacing w:line="276" w:lineRule="auto"/>
        <w:jc w:val="both"/>
        <w:rPr>
          <w:color w:val="0D0D0D" w:themeColor="text1" w:themeTint="F2"/>
        </w:rPr>
      </w:pPr>
      <w:r>
        <w:rPr>
          <w:color w:val="0D0D0D" w:themeColor="text1" w:themeTint="F2"/>
        </w:rPr>
        <w:t>Vizioni</w:t>
      </w:r>
      <w:r w:rsidR="00DD07BD" w:rsidRPr="00C400D3">
        <w:rPr>
          <w:color w:val="0D0D0D" w:themeColor="text1" w:themeTint="F2"/>
        </w:rPr>
        <w:t xml:space="preserve"> </w:t>
      </w:r>
      <w:r w:rsidR="00006A86" w:rsidRPr="00C400D3">
        <w:rPr>
          <w:color w:val="0D0D0D" w:themeColor="text1" w:themeTint="F2"/>
        </w:rPr>
        <w:t xml:space="preserve">punës së Zyrës së Komisionerit, </w:t>
      </w:r>
      <w:r w:rsidR="009F611F" w:rsidRPr="00C400D3">
        <w:rPr>
          <w:color w:val="0D0D0D" w:themeColor="text1" w:themeTint="F2"/>
        </w:rPr>
        <w:t xml:space="preserve">është </w:t>
      </w:r>
      <w:r w:rsidR="00006A86" w:rsidRPr="00C400D3">
        <w:rPr>
          <w:color w:val="0D0D0D" w:themeColor="text1" w:themeTint="F2"/>
        </w:rPr>
        <w:t xml:space="preserve">garantimi i zbatimit të rregullave të legjislacionit për të drejtën e informimit dhe legjislacionit për mbrojtjen e të dhënave personale. </w:t>
      </w:r>
    </w:p>
    <w:p w:rsidR="009F611F" w:rsidRPr="00C400D3" w:rsidRDefault="00006A86" w:rsidP="000F7C1E">
      <w:pPr>
        <w:spacing w:line="276" w:lineRule="auto"/>
        <w:jc w:val="both"/>
        <w:rPr>
          <w:color w:val="0D0D0D" w:themeColor="text1" w:themeTint="F2"/>
        </w:rPr>
      </w:pPr>
      <w:r w:rsidRPr="00C400D3">
        <w:rPr>
          <w:color w:val="0D0D0D" w:themeColor="text1" w:themeTint="F2"/>
        </w:rPr>
        <w:t xml:space="preserve">Misioni i saj është </w:t>
      </w:r>
      <w:r w:rsidR="009F611F" w:rsidRPr="00C400D3">
        <w:rPr>
          <w:color w:val="0D0D0D" w:themeColor="text1" w:themeTint="F2"/>
        </w:rPr>
        <w:t>garantimi i aksesit në informacion të qytetarëve ndaj autoriteteve publike, njohjes së publikut me informacionin publik, si dhe përpunimi i ligjshëm i të dhënave personale, duke respektuar dhe garantuar të drejtat dhe liritë themelore të njeriut, në veçanti, të drejtën për informim dhe të drejtën për mbrojtjen e të dhënave personale</w:t>
      </w:r>
      <w:r w:rsidR="00C400D3">
        <w:rPr>
          <w:color w:val="0D0D0D" w:themeColor="text1" w:themeTint="F2"/>
        </w:rPr>
        <w:t>.</w:t>
      </w:r>
      <w:r w:rsidRPr="00C400D3">
        <w:rPr>
          <w:color w:val="0D0D0D" w:themeColor="text1" w:themeTint="F2"/>
        </w:rPr>
        <w:t xml:space="preserve"> </w:t>
      </w:r>
    </w:p>
    <w:p w:rsidR="00EB0947" w:rsidRPr="00C400D3" w:rsidRDefault="00EB0947" w:rsidP="000F7C1E">
      <w:pPr>
        <w:spacing w:line="276" w:lineRule="auto"/>
        <w:jc w:val="both"/>
        <w:rPr>
          <w:color w:val="0D0D0D" w:themeColor="text1" w:themeTint="F2"/>
        </w:rPr>
      </w:pPr>
      <w:r w:rsidRPr="00C400D3">
        <w:rPr>
          <w:color w:val="0D0D0D" w:themeColor="text1" w:themeTint="F2"/>
        </w:rPr>
        <w:t xml:space="preserve">Për përmbushjen e sa më sipër, gjatë vitit 2020, objektivat e Zyrës së Komisionerit </w:t>
      </w:r>
      <w:r w:rsidR="00006A86" w:rsidRPr="00C400D3">
        <w:rPr>
          <w:color w:val="0D0D0D" w:themeColor="text1" w:themeTint="F2"/>
        </w:rPr>
        <w:t xml:space="preserve">të </w:t>
      </w:r>
      <w:r w:rsidR="003672D8" w:rsidRPr="00C400D3">
        <w:rPr>
          <w:color w:val="0D0D0D" w:themeColor="text1" w:themeTint="F2"/>
        </w:rPr>
        <w:t xml:space="preserve">janë të </w:t>
      </w:r>
      <w:r w:rsidR="00006A86" w:rsidRPr="00C400D3">
        <w:rPr>
          <w:color w:val="0D0D0D" w:themeColor="text1" w:themeTint="F2"/>
        </w:rPr>
        <w:t xml:space="preserve">detajuara sa më poshtë </w:t>
      </w:r>
    </w:p>
    <w:p w:rsidR="00EB0947" w:rsidRPr="00C400D3" w:rsidRDefault="00EB0947" w:rsidP="003672D8">
      <w:pPr>
        <w:pStyle w:val="ListParagraph"/>
        <w:numPr>
          <w:ilvl w:val="0"/>
          <w:numId w:val="33"/>
        </w:numPr>
        <w:jc w:val="both"/>
        <w:rPr>
          <w:rFonts w:ascii="Times New Roman" w:hAnsi="Times New Roman"/>
          <w:color w:val="0D0D0D" w:themeColor="text1" w:themeTint="F2"/>
          <w:sz w:val="24"/>
          <w:szCs w:val="24"/>
        </w:rPr>
      </w:pPr>
      <w:r w:rsidRPr="00C400D3">
        <w:rPr>
          <w:rFonts w:ascii="Times New Roman" w:hAnsi="Times New Roman"/>
          <w:color w:val="0D0D0D" w:themeColor="text1" w:themeTint="F2"/>
          <w:sz w:val="24"/>
          <w:szCs w:val="24"/>
        </w:rPr>
        <w:t>përafrimi i legjislacionit kombëtar me legjislacionin evropian (Konventa 108+, Rregullorja</w:t>
      </w:r>
      <w:r w:rsidR="002C4ED1" w:rsidRPr="00C400D3">
        <w:rPr>
          <w:rFonts w:ascii="Times New Roman" w:hAnsi="Times New Roman"/>
          <w:color w:val="0D0D0D" w:themeColor="text1" w:themeTint="F2"/>
          <w:sz w:val="24"/>
          <w:szCs w:val="24"/>
        </w:rPr>
        <w:t xml:space="preserve"> 679/2016, Direktiva 680/2016);</w:t>
      </w:r>
    </w:p>
    <w:p w:rsidR="003672D8" w:rsidRPr="00C400D3" w:rsidRDefault="00EB0947" w:rsidP="000F7C1E">
      <w:pPr>
        <w:pStyle w:val="ListParagraph"/>
        <w:numPr>
          <w:ilvl w:val="0"/>
          <w:numId w:val="33"/>
        </w:numPr>
        <w:jc w:val="both"/>
        <w:rPr>
          <w:rFonts w:ascii="Times New Roman" w:hAnsi="Times New Roman"/>
          <w:color w:val="0D0D0D" w:themeColor="text1" w:themeTint="F2"/>
          <w:sz w:val="24"/>
          <w:szCs w:val="24"/>
        </w:rPr>
      </w:pPr>
      <w:r w:rsidRPr="00C400D3">
        <w:rPr>
          <w:rFonts w:ascii="Times New Roman" w:hAnsi="Times New Roman"/>
          <w:color w:val="0D0D0D" w:themeColor="text1" w:themeTint="F2"/>
          <w:sz w:val="24"/>
          <w:szCs w:val="24"/>
        </w:rPr>
        <w:t xml:space="preserve">masa konkrete në lidhje me thirrjet e pa kërkuara telefonike ose dërgimit të mesazheve me postë elektronike; </w:t>
      </w:r>
    </w:p>
    <w:p w:rsidR="00EB0947" w:rsidRPr="00C400D3" w:rsidRDefault="00EB0947" w:rsidP="000F7C1E">
      <w:pPr>
        <w:pStyle w:val="ListParagraph"/>
        <w:numPr>
          <w:ilvl w:val="0"/>
          <w:numId w:val="33"/>
        </w:numPr>
        <w:jc w:val="both"/>
        <w:rPr>
          <w:rFonts w:ascii="Times New Roman" w:hAnsi="Times New Roman"/>
          <w:color w:val="0D0D0D" w:themeColor="text1" w:themeTint="F2"/>
          <w:sz w:val="24"/>
          <w:szCs w:val="24"/>
        </w:rPr>
      </w:pPr>
      <w:r w:rsidRPr="00C400D3">
        <w:rPr>
          <w:rFonts w:ascii="Times New Roman" w:hAnsi="Times New Roman"/>
          <w:color w:val="0D0D0D" w:themeColor="text1" w:themeTint="F2"/>
          <w:sz w:val="24"/>
          <w:szCs w:val="24"/>
        </w:rPr>
        <w:t xml:space="preserve">mbikëqyrja e kontrolluesve në fushën e shëndetësisë dhe atë të teknologjisë së informacionit dhe komunikimit; </w:t>
      </w:r>
    </w:p>
    <w:p w:rsidR="00006A86" w:rsidRPr="00C400D3" w:rsidRDefault="00006A86" w:rsidP="003672D8">
      <w:pPr>
        <w:pStyle w:val="ListParagraph"/>
        <w:numPr>
          <w:ilvl w:val="0"/>
          <w:numId w:val="33"/>
        </w:numPr>
        <w:jc w:val="both"/>
        <w:rPr>
          <w:rFonts w:ascii="Times New Roman" w:hAnsi="Times New Roman"/>
          <w:color w:val="0D0D0D" w:themeColor="text1" w:themeTint="F2"/>
          <w:sz w:val="24"/>
          <w:szCs w:val="24"/>
        </w:rPr>
      </w:pPr>
      <w:r w:rsidRPr="00C400D3">
        <w:rPr>
          <w:rFonts w:ascii="Times New Roman" w:hAnsi="Times New Roman"/>
          <w:color w:val="0D0D0D" w:themeColor="text1" w:themeTint="F2"/>
          <w:sz w:val="24"/>
          <w:szCs w:val="24"/>
        </w:rPr>
        <w:t>forcimi i llogaridhënies së autoriteteve publike dhe kontrolluesve publik e privat, forcimi i transparencës, duke garantuar të drejtat dhe liritë themelore të njeriut.</w:t>
      </w:r>
    </w:p>
    <w:p w:rsidR="00EB0947" w:rsidRPr="00C400D3" w:rsidRDefault="00EB0947" w:rsidP="000F7C1E">
      <w:pPr>
        <w:pStyle w:val="ListParagraph"/>
        <w:numPr>
          <w:ilvl w:val="0"/>
          <w:numId w:val="33"/>
        </w:numPr>
        <w:jc w:val="both"/>
        <w:rPr>
          <w:rFonts w:ascii="Times New Roman" w:hAnsi="Times New Roman"/>
          <w:color w:val="0D0D0D" w:themeColor="text1" w:themeTint="F2"/>
          <w:sz w:val="24"/>
          <w:szCs w:val="24"/>
        </w:rPr>
      </w:pPr>
      <w:r w:rsidRPr="00C400D3">
        <w:rPr>
          <w:rFonts w:ascii="Times New Roman" w:hAnsi="Times New Roman"/>
          <w:color w:val="0D0D0D" w:themeColor="text1" w:themeTint="F2"/>
          <w:sz w:val="24"/>
          <w:szCs w:val="24"/>
        </w:rPr>
        <w:t xml:space="preserve"> rishikimi i programit model të transparencës dhe modelit të regjistrit të kërkesave dhe përgjigjeve; </w:t>
      </w:r>
    </w:p>
    <w:p w:rsidR="00006A86" w:rsidRPr="00C400D3" w:rsidRDefault="00EB0947" w:rsidP="003672D8">
      <w:pPr>
        <w:pStyle w:val="ListParagraph"/>
        <w:numPr>
          <w:ilvl w:val="0"/>
          <w:numId w:val="33"/>
        </w:numPr>
        <w:jc w:val="both"/>
        <w:rPr>
          <w:rFonts w:ascii="Times New Roman" w:hAnsi="Times New Roman"/>
          <w:color w:val="0D0D0D" w:themeColor="text1" w:themeTint="F2"/>
          <w:sz w:val="24"/>
          <w:szCs w:val="24"/>
        </w:rPr>
      </w:pPr>
      <w:r w:rsidRPr="00C400D3">
        <w:rPr>
          <w:rFonts w:ascii="Times New Roman" w:hAnsi="Times New Roman"/>
          <w:color w:val="0D0D0D" w:themeColor="text1" w:themeTint="F2"/>
          <w:sz w:val="24"/>
          <w:szCs w:val="24"/>
        </w:rPr>
        <w:t xml:space="preserve"> shtrirja e regjistrit elektronik të kërkesave dhe përgjigjeve;</w:t>
      </w:r>
    </w:p>
    <w:p w:rsidR="00EB0947" w:rsidRPr="00C400D3" w:rsidRDefault="00EB0947" w:rsidP="000F7C1E">
      <w:pPr>
        <w:pStyle w:val="ListParagraph"/>
        <w:numPr>
          <w:ilvl w:val="0"/>
          <w:numId w:val="33"/>
        </w:numPr>
        <w:jc w:val="both"/>
        <w:rPr>
          <w:rFonts w:ascii="Times New Roman" w:hAnsi="Times New Roman"/>
          <w:color w:val="0D0D0D" w:themeColor="text1" w:themeTint="F2"/>
          <w:sz w:val="24"/>
          <w:szCs w:val="24"/>
        </w:rPr>
      </w:pPr>
      <w:r w:rsidRPr="00C400D3">
        <w:rPr>
          <w:rFonts w:ascii="Times New Roman" w:hAnsi="Times New Roman"/>
          <w:color w:val="0D0D0D" w:themeColor="text1" w:themeTint="F2"/>
          <w:sz w:val="24"/>
          <w:szCs w:val="24"/>
        </w:rPr>
        <w:t>forcimi i rolit dhe kapaciteteve të koordinato</w:t>
      </w:r>
      <w:r w:rsidR="00C400D3">
        <w:rPr>
          <w:rFonts w:ascii="Times New Roman" w:hAnsi="Times New Roman"/>
          <w:color w:val="0D0D0D" w:themeColor="text1" w:themeTint="F2"/>
          <w:sz w:val="24"/>
          <w:szCs w:val="24"/>
        </w:rPr>
        <w:t>rit të të drejtës për informim;</w:t>
      </w:r>
    </w:p>
    <w:p w:rsidR="00F52608" w:rsidRPr="00C400D3" w:rsidRDefault="00EB0947" w:rsidP="000F7C1E">
      <w:pPr>
        <w:pStyle w:val="ListParagraph"/>
        <w:numPr>
          <w:ilvl w:val="0"/>
          <w:numId w:val="33"/>
        </w:numPr>
        <w:jc w:val="both"/>
        <w:rPr>
          <w:rFonts w:ascii="Times New Roman" w:hAnsi="Times New Roman"/>
          <w:color w:val="0D0D0D" w:themeColor="text1" w:themeTint="F2"/>
          <w:sz w:val="24"/>
          <w:szCs w:val="24"/>
        </w:rPr>
      </w:pPr>
      <w:r w:rsidRPr="00C400D3">
        <w:rPr>
          <w:rFonts w:ascii="Times New Roman" w:hAnsi="Times New Roman"/>
          <w:color w:val="0D0D0D" w:themeColor="text1" w:themeTint="F2"/>
          <w:sz w:val="24"/>
          <w:szCs w:val="24"/>
        </w:rPr>
        <w:t>aktivitete ndërgjegjësuese dhe trajnuese të Zyrës së Komisionerit në kuadër të fushave të veprimtarisë për informimin dhe ndërgjegjësimin për të drejtat dhe detyrimet.</w:t>
      </w:r>
    </w:p>
    <w:p w:rsidR="00DD3A37" w:rsidRPr="00C400D3" w:rsidRDefault="00DD07BD" w:rsidP="000F7C1E">
      <w:pPr>
        <w:pStyle w:val="BodyText"/>
        <w:spacing w:after="0" w:line="276" w:lineRule="auto"/>
        <w:jc w:val="both"/>
        <w:rPr>
          <w:color w:val="0D0D0D" w:themeColor="text1" w:themeTint="F2"/>
        </w:rPr>
      </w:pPr>
      <w:r w:rsidRPr="00C400D3">
        <w:rPr>
          <w:color w:val="0D0D0D" w:themeColor="text1" w:themeTint="F2"/>
        </w:rPr>
        <w:t xml:space="preserve">Në përdorimin e fondeve buxhetore, </w:t>
      </w:r>
      <w:r w:rsidR="00006A86" w:rsidRPr="00C400D3">
        <w:rPr>
          <w:color w:val="0D0D0D" w:themeColor="text1" w:themeTint="F2"/>
        </w:rPr>
        <w:t>Zyra e Komisionerit ë</w:t>
      </w:r>
      <w:r w:rsidRPr="00C400D3">
        <w:rPr>
          <w:color w:val="0D0D0D" w:themeColor="text1" w:themeTint="F2"/>
        </w:rPr>
        <w:t>sht</w:t>
      </w:r>
      <w:r w:rsidR="00006A86" w:rsidRPr="00C400D3">
        <w:rPr>
          <w:color w:val="0D0D0D" w:themeColor="text1" w:themeTint="F2"/>
        </w:rPr>
        <w:t>ë</w:t>
      </w:r>
      <w:r w:rsidRPr="00C400D3">
        <w:rPr>
          <w:color w:val="0D0D0D" w:themeColor="text1" w:themeTint="F2"/>
        </w:rPr>
        <w:t xml:space="preserve"> mbështetur në parimet e menaxhimit dhe mirëfunksionimit të sistemit buxhetor. K</w:t>
      </w:r>
      <w:r w:rsidR="00006A86" w:rsidRPr="00C400D3">
        <w:rPr>
          <w:color w:val="0D0D0D" w:themeColor="text1" w:themeTint="F2"/>
        </w:rPr>
        <w:t>ë</w:t>
      </w:r>
      <w:r w:rsidRPr="00C400D3">
        <w:rPr>
          <w:color w:val="0D0D0D" w:themeColor="text1" w:themeTint="F2"/>
        </w:rPr>
        <w:t>t</w:t>
      </w:r>
      <w:r w:rsidR="00006A86" w:rsidRPr="00C400D3">
        <w:rPr>
          <w:color w:val="0D0D0D" w:themeColor="text1" w:themeTint="F2"/>
        </w:rPr>
        <w:t>ë</w:t>
      </w:r>
      <w:r w:rsidR="003672D8" w:rsidRPr="00C400D3">
        <w:rPr>
          <w:color w:val="0D0D0D" w:themeColor="text1" w:themeTint="F2"/>
        </w:rPr>
        <w:t xml:space="preserve"> vit, </w:t>
      </w:r>
      <w:r w:rsidRPr="00C400D3">
        <w:rPr>
          <w:color w:val="0D0D0D" w:themeColor="text1" w:themeTint="F2"/>
        </w:rPr>
        <w:t>disa nga shpenzimet jan</w:t>
      </w:r>
      <w:r w:rsidR="00006A86" w:rsidRPr="00C400D3">
        <w:rPr>
          <w:color w:val="0D0D0D" w:themeColor="text1" w:themeTint="F2"/>
        </w:rPr>
        <w:t>ë</w:t>
      </w:r>
      <w:r w:rsidRPr="00C400D3">
        <w:rPr>
          <w:color w:val="0D0D0D" w:themeColor="text1" w:themeTint="F2"/>
        </w:rPr>
        <w:t xml:space="preserve"> lidhur edhe me p</w:t>
      </w:r>
      <w:r w:rsidR="00006A86" w:rsidRPr="00C400D3">
        <w:rPr>
          <w:color w:val="0D0D0D" w:themeColor="text1" w:themeTint="F2"/>
        </w:rPr>
        <w:t>ë</w:t>
      </w:r>
      <w:r w:rsidRPr="00C400D3">
        <w:rPr>
          <w:color w:val="0D0D0D" w:themeColor="text1" w:themeTint="F2"/>
        </w:rPr>
        <w:t>rshtatjen me kushtet e reja me prezenc</w:t>
      </w:r>
      <w:r w:rsidR="00006A86" w:rsidRPr="00C400D3">
        <w:rPr>
          <w:color w:val="0D0D0D" w:themeColor="text1" w:themeTint="F2"/>
        </w:rPr>
        <w:t>ë</w:t>
      </w:r>
      <w:r w:rsidRPr="00C400D3">
        <w:rPr>
          <w:color w:val="0D0D0D" w:themeColor="text1" w:themeTint="F2"/>
        </w:rPr>
        <w:t>n e pandemis</w:t>
      </w:r>
      <w:r w:rsidR="00006A86" w:rsidRPr="00C400D3">
        <w:rPr>
          <w:color w:val="0D0D0D" w:themeColor="text1" w:themeTint="F2"/>
        </w:rPr>
        <w:t>ë</w:t>
      </w:r>
      <w:r w:rsidRPr="00C400D3">
        <w:rPr>
          <w:color w:val="0D0D0D" w:themeColor="text1" w:themeTint="F2"/>
        </w:rPr>
        <w:t xml:space="preserve"> bot</w:t>
      </w:r>
      <w:r w:rsidR="00006A86" w:rsidRPr="00C400D3">
        <w:rPr>
          <w:color w:val="0D0D0D" w:themeColor="text1" w:themeTint="F2"/>
        </w:rPr>
        <w:t>ë</w:t>
      </w:r>
      <w:r w:rsidRPr="00C400D3">
        <w:rPr>
          <w:color w:val="0D0D0D" w:themeColor="text1" w:themeTint="F2"/>
        </w:rPr>
        <w:t>rore t</w:t>
      </w:r>
      <w:r w:rsidR="00006A86" w:rsidRPr="00C400D3">
        <w:rPr>
          <w:color w:val="0D0D0D" w:themeColor="text1" w:themeTint="F2"/>
        </w:rPr>
        <w:t>ë</w:t>
      </w:r>
      <w:r w:rsidRPr="00C400D3">
        <w:rPr>
          <w:color w:val="0D0D0D" w:themeColor="text1" w:themeTint="F2"/>
        </w:rPr>
        <w:t xml:space="preserve"> Covid-19</w:t>
      </w:r>
      <w:r w:rsidR="00006A86" w:rsidRPr="00C400D3">
        <w:rPr>
          <w:color w:val="0D0D0D" w:themeColor="text1" w:themeTint="F2"/>
        </w:rPr>
        <w:t>,</w:t>
      </w:r>
      <w:r w:rsidRPr="00C400D3">
        <w:rPr>
          <w:color w:val="0D0D0D" w:themeColor="text1" w:themeTint="F2"/>
        </w:rPr>
        <w:t xml:space="preserve"> por edhe respektimit t</w:t>
      </w:r>
      <w:r w:rsidR="00006A86" w:rsidRPr="00C400D3">
        <w:rPr>
          <w:color w:val="0D0D0D" w:themeColor="text1" w:themeTint="F2"/>
        </w:rPr>
        <w:t>ë</w:t>
      </w:r>
      <w:r w:rsidRPr="00C400D3">
        <w:rPr>
          <w:color w:val="0D0D0D" w:themeColor="text1" w:themeTint="F2"/>
        </w:rPr>
        <w:t xml:space="preserve"> masav</w:t>
      </w:r>
      <w:r w:rsidR="00006A86" w:rsidRPr="00C400D3">
        <w:rPr>
          <w:color w:val="0D0D0D" w:themeColor="text1" w:themeTint="F2"/>
        </w:rPr>
        <w:t>e</w:t>
      </w:r>
      <w:r w:rsidRPr="00C400D3">
        <w:rPr>
          <w:color w:val="0D0D0D" w:themeColor="text1" w:themeTint="F2"/>
        </w:rPr>
        <w:t xml:space="preserve"> anti</w:t>
      </w:r>
      <w:r w:rsidR="00006A86" w:rsidRPr="00C400D3">
        <w:rPr>
          <w:color w:val="0D0D0D" w:themeColor="text1" w:themeTint="F2"/>
        </w:rPr>
        <w:t>-</w:t>
      </w:r>
      <w:r w:rsidRPr="00C400D3">
        <w:rPr>
          <w:color w:val="0D0D0D" w:themeColor="text1" w:themeTint="F2"/>
        </w:rPr>
        <w:t>covid q</w:t>
      </w:r>
      <w:r w:rsidR="00006A86" w:rsidRPr="00C400D3">
        <w:rPr>
          <w:color w:val="0D0D0D" w:themeColor="text1" w:themeTint="F2"/>
        </w:rPr>
        <w:t>ë</w:t>
      </w:r>
      <w:r w:rsidRPr="00C400D3">
        <w:rPr>
          <w:color w:val="0D0D0D" w:themeColor="text1" w:themeTint="F2"/>
        </w:rPr>
        <w:t xml:space="preserve"> lidhen kryesisht me distancimin social, me pun</w:t>
      </w:r>
      <w:r w:rsidR="00006A86" w:rsidRPr="00C400D3">
        <w:rPr>
          <w:color w:val="0D0D0D" w:themeColor="text1" w:themeTint="F2"/>
        </w:rPr>
        <w:t>ë</w:t>
      </w:r>
      <w:r w:rsidRPr="00C400D3">
        <w:rPr>
          <w:color w:val="0D0D0D" w:themeColor="text1" w:themeTint="F2"/>
        </w:rPr>
        <w:t>n online nga sht</w:t>
      </w:r>
      <w:r w:rsidR="00006A86" w:rsidRPr="00C400D3">
        <w:rPr>
          <w:color w:val="0D0D0D" w:themeColor="text1" w:themeTint="F2"/>
        </w:rPr>
        <w:t>ë</w:t>
      </w:r>
      <w:r w:rsidRPr="00C400D3">
        <w:rPr>
          <w:color w:val="0D0D0D" w:themeColor="text1" w:themeTint="F2"/>
        </w:rPr>
        <w:t>pia dhe prezenc</w:t>
      </w:r>
      <w:r w:rsidR="00006A86" w:rsidRPr="00C400D3">
        <w:rPr>
          <w:color w:val="0D0D0D" w:themeColor="text1" w:themeTint="F2"/>
        </w:rPr>
        <w:t>ë</w:t>
      </w:r>
      <w:r w:rsidRPr="00C400D3">
        <w:rPr>
          <w:color w:val="0D0D0D" w:themeColor="text1" w:themeTint="F2"/>
        </w:rPr>
        <w:t>n me grafik n</w:t>
      </w:r>
      <w:r w:rsidR="00006A86" w:rsidRPr="00C400D3">
        <w:rPr>
          <w:color w:val="0D0D0D" w:themeColor="text1" w:themeTint="F2"/>
        </w:rPr>
        <w:t>ë</w:t>
      </w:r>
      <w:r w:rsidRPr="00C400D3">
        <w:rPr>
          <w:color w:val="0D0D0D" w:themeColor="text1" w:themeTint="F2"/>
        </w:rPr>
        <w:t>p</w:t>
      </w:r>
      <w:r w:rsidR="00006A86" w:rsidRPr="00C400D3">
        <w:rPr>
          <w:color w:val="0D0D0D" w:themeColor="text1" w:themeTint="F2"/>
        </w:rPr>
        <w:t>ë</w:t>
      </w:r>
      <w:r w:rsidRPr="00C400D3">
        <w:rPr>
          <w:color w:val="0D0D0D" w:themeColor="text1" w:themeTint="F2"/>
        </w:rPr>
        <w:t>r zyra etj</w:t>
      </w:r>
      <w:r w:rsidR="00006A86" w:rsidRPr="00C400D3">
        <w:rPr>
          <w:color w:val="0D0D0D" w:themeColor="text1" w:themeTint="F2"/>
        </w:rPr>
        <w:t>,</w:t>
      </w:r>
      <w:r w:rsidRPr="00C400D3">
        <w:rPr>
          <w:color w:val="0D0D0D" w:themeColor="text1" w:themeTint="F2"/>
        </w:rPr>
        <w:t xml:space="preserve"> sipas protokoll</w:t>
      </w:r>
      <w:r w:rsidR="00DD3A37" w:rsidRPr="00C400D3">
        <w:rPr>
          <w:color w:val="0D0D0D" w:themeColor="text1" w:themeTint="F2"/>
        </w:rPr>
        <w:t>eve</w:t>
      </w:r>
      <w:r w:rsidRPr="00C400D3">
        <w:rPr>
          <w:color w:val="0D0D0D" w:themeColor="text1" w:themeTint="F2"/>
        </w:rPr>
        <w:t xml:space="preserve"> </w:t>
      </w:r>
      <w:r w:rsidR="00DD3A37" w:rsidRPr="00C400D3">
        <w:rPr>
          <w:color w:val="0D0D0D" w:themeColor="text1" w:themeTint="F2"/>
        </w:rPr>
        <w:t>dhe instruksioneve t</w:t>
      </w:r>
      <w:r w:rsidR="00006A86" w:rsidRPr="00C400D3">
        <w:rPr>
          <w:color w:val="0D0D0D" w:themeColor="text1" w:themeTint="F2"/>
        </w:rPr>
        <w:t>ë</w:t>
      </w:r>
      <w:r w:rsidR="00DD3A37" w:rsidRPr="00C400D3">
        <w:rPr>
          <w:color w:val="0D0D0D" w:themeColor="text1" w:themeTint="F2"/>
        </w:rPr>
        <w:t xml:space="preserve"> Ministris</w:t>
      </w:r>
      <w:r w:rsidR="00006A86" w:rsidRPr="00C400D3">
        <w:rPr>
          <w:color w:val="0D0D0D" w:themeColor="text1" w:themeTint="F2"/>
        </w:rPr>
        <w:t>ë</w:t>
      </w:r>
      <w:r w:rsidR="00DD3A37" w:rsidRPr="00C400D3">
        <w:rPr>
          <w:color w:val="0D0D0D" w:themeColor="text1" w:themeTint="F2"/>
        </w:rPr>
        <w:t xml:space="preserve"> s</w:t>
      </w:r>
      <w:r w:rsidR="00006A86" w:rsidRPr="00C400D3">
        <w:rPr>
          <w:color w:val="0D0D0D" w:themeColor="text1" w:themeTint="F2"/>
        </w:rPr>
        <w:t>ë</w:t>
      </w:r>
      <w:r w:rsidR="00DD3A37" w:rsidRPr="00C400D3">
        <w:rPr>
          <w:color w:val="0D0D0D" w:themeColor="text1" w:themeTint="F2"/>
        </w:rPr>
        <w:t xml:space="preserve"> Sh</w:t>
      </w:r>
      <w:r w:rsidR="00006A86" w:rsidRPr="00C400D3">
        <w:rPr>
          <w:color w:val="0D0D0D" w:themeColor="text1" w:themeTint="F2"/>
        </w:rPr>
        <w:t>ë</w:t>
      </w:r>
      <w:r w:rsidR="00DD3A37" w:rsidRPr="00C400D3">
        <w:rPr>
          <w:color w:val="0D0D0D" w:themeColor="text1" w:themeTint="F2"/>
        </w:rPr>
        <w:t>ndet</w:t>
      </w:r>
      <w:r w:rsidR="00006A86" w:rsidRPr="00C400D3">
        <w:rPr>
          <w:color w:val="0D0D0D" w:themeColor="text1" w:themeTint="F2"/>
        </w:rPr>
        <w:t>ë</w:t>
      </w:r>
      <w:r w:rsidR="00DD3A37" w:rsidRPr="00C400D3">
        <w:rPr>
          <w:color w:val="0D0D0D" w:themeColor="text1" w:themeTint="F2"/>
        </w:rPr>
        <w:t>sis</w:t>
      </w:r>
      <w:r w:rsidR="00006A86" w:rsidRPr="00C400D3">
        <w:rPr>
          <w:color w:val="0D0D0D" w:themeColor="text1" w:themeTint="F2"/>
        </w:rPr>
        <w:t>ë</w:t>
      </w:r>
      <w:r w:rsidR="00DD3A37" w:rsidRPr="00C400D3">
        <w:rPr>
          <w:color w:val="0D0D0D" w:themeColor="text1" w:themeTint="F2"/>
        </w:rPr>
        <w:t xml:space="preserve"> dhe </w:t>
      </w:r>
      <w:r w:rsidR="00006A86" w:rsidRPr="00C400D3">
        <w:rPr>
          <w:color w:val="0D0D0D" w:themeColor="text1" w:themeTint="F2"/>
        </w:rPr>
        <w:t>M</w:t>
      </w:r>
      <w:r w:rsidR="00AA1988">
        <w:rPr>
          <w:color w:val="0D0D0D" w:themeColor="text1" w:themeTint="F2"/>
        </w:rPr>
        <w:t>brojtjes S</w:t>
      </w:r>
      <w:r w:rsidR="00DD3A37" w:rsidRPr="00C400D3">
        <w:rPr>
          <w:color w:val="0D0D0D" w:themeColor="text1" w:themeTint="F2"/>
        </w:rPr>
        <w:t>ociale</w:t>
      </w:r>
      <w:r w:rsidRPr="00C400D3">
        <w:rPr>
          <w:color w:val="0D0D0D" w:themeColor="text1" w:themeTint="F2"/>
        </w:rPr>
        <w:t xml:space="preserve"> </w:t>
      </w:r>
      <w:r w:rsidR="00DD3A37" w:rsidRPr="00C400D3">
        <w:rPr>
          <w:color w:val="0D0D0D" w:themeColor="text1" w:themeTint="F2"/>
        </w:rPr>
        <w:t>si dhe akteve administrative t</w:t>
      </w:r>
      <w:r w:rsidR="00006A86" w:rsidRPr="00C400D3">
        <w:rPr>
          <w:color w:val="0D0D0D" w:themeColor="text1" w:themeTint="F2"/>
        </w:rPr>
        <w:t>ë</w:t>
      </w:r>
      <w:r w:rsidR="00DD3A37" w:rsidRPr="00C400D3">
        <w:rPr>
          <w:color w:val="0D0D0D" w:themeColor="text1" w:themeTint="F2"/>
        </w:rPr>
        <w:t xml:space="preserve"> </w:t>
      </w:r>
      <w:r w:rsidR="00006A86" w:rsidRPr="00C400D3">
        <w:rPr>
          <w:color w:val="0D0D0D" w:themeColor="text1" w:themeTint="F2"/>
        </w:rPr>
        <w:t xml:space="preserve">Zyrës së Komisionerit </w:t>
      </w:r>
      <w:r w:rsidR="00DD3A37" w:rsidRPr="00C400D3">
        <w:rPr>
          <w:color w:val="0D0D0D" w:themeColor="text1" w:themeTint="F2"/>
        </w:rPr>
        <w:t>p</w:t>
      </w:r>
      <w:r w:rsidR="00006A86" w:rsidRPr="00C400D3">
        <w:rPr>
          <w:color w:val="0D0D0D" w:themeColor="text1" w:themeTint="F2"/>
        </w:rPr>
        <w:t>ë</w:t>
      </w:r>
      <w:r w:rsidR="00DD3A37" w:rsidRPr="00C400D3">
        <w:rPr>
          <w:color w:val="0D0D0D" w:themeColor="text1" w:themeTint="F2"/>
        </w:rPr>
        <w:t xml:space="preserve">r masat anti covid. </w:t>
      </w:r>
    </w:p>
    <w:p w:rsidR="003672D8" w:rsidRPr="00C400D3" w:rsidRDefault="00F11F1F" w:rsidP="003672D8">
      <w:pPr>
        <w:pStyle w:val="BodyText"/>
        <w:spacing w:after="0" w:line="276" w:lineRule="auto"/>
        <w:jc w:val="both"/>
        <w:rPr>
          <w:color w:val="0D0D0D" w:themeColor="text1" w:themeTint="F2"/>
        </w:rPr>
      </w:pPr>
      <w:r w:rsidRPr="00C400D3">
        <w:rPr>
          <w:color w:val="0D0D0D" w:themeColor="text1" w:themeTint="F2"/>
        </w:rPr>
        <w:t xml:space="preserve">Në kushtet e gjendjes së fatkeqësisë natyrore për shkak të epidemisë së shkaktuar nga përhapja e COVID-19, Zyra e Komisionerit, ka ndërmarrë masa shtesë për përballimin e kësaj situate, duke rishikuar prioritetet dhe orientuar shpenzimet buxhetore drejt aktiviteteve më  </w:t>
      </w:r>
      <w:r w:rsidR="003672D8" w:rsidRPr="00C400D3">
        <w:rPr>
          <w:color w:val="0D0D0D" w:themeColor="text1" w:themeTint="F2"/>
        </w:rPr>
        <w:t>imediate</w:t>
      </w:r>
      <w:r w:rsidR="006C5ED0" w:rsidRPr="00C400D3">
        <w:rPr>
          <w:color w:val="0D0D0D" w:themeColor="text1" w:themeTint="F2"/>
        </w:rPr>
        <w:t>,</w:t>
      </w:r>
      <w:r w:rsidRPr="00C400D3">
        <w:rPr>
          <w:color w:val="0D0D0D" w:themeColor="text1" w:themeTint="F2"/>
        </w:rPr>
        <w:t xml:space="preserve"> </w:t>
      </w:r>
      <w:r w:rsidR="006C5ED0" w:rsidRPr="00C400D3">
        <w:rPr>
          <w:color w:val="0D0D0D" w:themeColor="text1" w:themeTint="F2"/>
        </w:rPr>
        <w:t>me</w:t>
      </w:r>
      <w:r w:rsidR="003672D8" w:rsidRPr="00C400D3">
        <w:rPr>
          <w:color w:val="0D0D0D" w:themeColor="text1" w:themeTint="F2"/>
        </w:rPr>
        <w:t xml:space="preserve"> synim</w:t>
      </w:r>
      <w:r w:rsidR="006C5ED0" w:rsidRPr="00C400D3">
        <w:rPr>
          <w:color w:val="0D0D0D" w:themeColor="text1" w:themeTint="F2"/>
        </w:rPr>
        <w:t>in</w:t>
      </w:r>
      <w:r w:rsidR="003672D8" w:rsidRPr="00C400D3">
        <w:rPr>
          <w:color w:val="0D0D0D" w:themeColor="text1" w:themeTint="F2"/>
        </w:rPr>
        <w:t xml:space="preserve"> përdorimin efiçent të burimeve, përgjegjësi të qarta për </w:t>
      </w:r>
      <w:r w:rsidR="006C5ED0" w:rsidRPr="00C400D3">
        <w:rPr>
          <w:color w:val="0D0D0D" w:themeColor="text1" w:themeTint="F2"/>
        </w:rPr>
        <w:t xml:space="preserve">realizimin e </w:t>
      </w:r>
      <w:r w:rsidR="003672D8" w:rsidRPr="00C400D3">
        <w:rPr>
          <w:color w:val="0D0D0D" w:themeColor="text1" w:themeTint="F2"/>
        </w:rPr>
        <w:t>produkt</w:t>
      </w:r>
      <w:r w:rsidR="006C5ED0" w:rsidRPr="00C400D3">
        <w:rPr>
          <w:color w:val="0D0D0D" w:themeColor="text1" w:themeTint="F2"/>
        </w:rPr>
        <w:t>it</w:t>
      </w:r>
      <w:r w:rsidR="003672D8" w:rsidRPr="00C400D3">
        <w:rPr>
          <w:color w:val="0D0D0D" w:themeColor="text1" w:themeTint="F2"/>
        </w:rPr>
        <w:t>/nënprodukt</w:t>
      </w:r>
      <w:r w:rsidR="006C5ED0" w:rsidRPr="00C400D3">
        <w:rPr>
          <w:color w:val="0D0D0D" w:themeColor="text1" w:themeTint="F2"/>
        </w:rPr>
        <w:t>eve</w:t>
      </w:r>
      <w:r w:rsidR="003672D8" w:rsidRPr="00C400D3">
        <w:rPr>
          <w:color w:val="0D0D0D" w:themeColor="text1" w:themeTint="F2"/>
        </w:rPr>
        <w:t>, në funksion të realizimit të objektivave për vitin 2020.</w:t>
      </w:r>
    </w:p>
    <w:p w:rsidR="00F11F1F" w:rsidRPr="00C400D3" w:rsidRDefault="00AA1988" w:rsidP="000F7C1E">
      <w:pPr>
        <w:pStyle w:val="NormalWeb"/>
        <w:shd w:val="clear" w:color="auto" w:fill="FFFFFF"/>
        <w:spacing w:before="0" w:beforeAutospacing="0" w:after="120" w:afterAutospacing="0" w:line="276" w:lineRule="auto"/>
        <w:jc w:val="both"/>
        <w:rPr>
          <w:rFonts w:eastAsia="Times New Roman"/>
          <w:color w:val="0D0D0D" w:themeColor="text1" w:themeTint="F2"/>
        </w:rPr>
      </w:pPr>
      <w:proofErr w:type="spellStart"/>
      <w:r>
        <w:rPr>
          <w:color w:val="0D0D0D" w:themeColor="text1" w:themeTint="F2"/>
        </w:rPr>
        <w:t>Për</w:t>
      </w:r>
      <w:proofErr w:type="spellEnd"/>
      <w:r>
        <w:rPr>
          <w:color w:val="0D0D0D" w:themeColor="text1" w:themeTint="F2"/>
        </w:rPr>
        <w:t xml:space="preserve"> </w:t>
      </w:r>
      <w:proofErr w:type="spellStart"/>
      <w:r>
        <w:rPr>
          <w:color w:val="0D0D0D" w:themeColor="text1" w:themeTint="F2"/>
        </w:rPr>
        <w:t>arsye</w:t>
      </w:r>
      <w:proofErr w:type="spellEnd"/>
      <w:r>
        <w:rPr>
          <w:color w:val="0D0D0D" w:themeColor="text1" w:themeTint="F2"/>
        </w:rPr>
        <w:t xml:space="preserve"> </w:t>
      </w:r>
      <w:proofErr w:type="spellStart"/>
      <w:r>
        <w:rPr>
          <w:color w:val="0D0D0D" w:themeColor="text1" w:themeTint="F2"/>
        </w:rPr>
        <w:t>të</w:t>
      </w:r>
      <w:proofErr w:type="spellEnd"/>
      <w:r>
        <w:rPr>
          <w:color w:val="0D0D0D" w:themeColor="text1" w:themeTint="F2"/>
        </w:rPr>
        <w:t xml:space="preserve"> </w:t>
      </w:r>
      <w:proofErr w:type="spellStart"/>
      <w:r>
        <w:rPr>
          <w:color w:val="0D0D0D" w:themeColor="text1" w:themeTint="F2"/>
        </w:rPr>
        <w:t>fok</w:t>
      </w:r>
      <w:r w:rsidR="004732BD" w:rsidRPr="00C400D3">
        <w:rPr>
          <w:color w:val="0D0D0D" w:themeColor="text1" w:themeTint="F2"/>
        </w:rPr>
        <w:t>usit</w:t>
      </w:r>
      <w:proofErr w:type="spellEnd"/>
      <w:r w:rsidR="004732BD" w:rsidRPr="00C400D3">
        <w:rPr>
          <w:color w:val="0D0D0D" w:themeColor="text1" w:themeTint="F2"/>
        </w:rPr>
        <w:t xml:space="preserve"> </w:t>
      </w:r>
      <w:proofErr w:type="spellStart"/>
      <w:r w:rsidR="004732BD" w:rsidRPr="00C400D3">
        <w:rPr>
          <w:color w:val="0D0D0D" w:themeColor="text1" w:themeTint="F2"/>
        </w:rPr>
        <w:t>të</w:t>
      </w:r>
      <w:proofErr w:type="spellEnd"/>
      <w:r w:rsidR="004732BD" w:rsidRPr="00C400D3">
        <w:rPr>
          <w:color w:val="0D0D0D" w:themeColor="text1" w:themeTint="F2"/>
        </w:rPr>
        <w:t xml:space="preserve"> </w:t>
      </w:r>
      <w:proofErr w:type="spellStart"/>
      <w:r w:rsidR="004732BD" w:rsidRPr="00C400D3">
        <w:rPr>
          <w:color w:val="0D0D0D" w:themeColor="text1" w:themeTint="F2"/>
        </w:rPr>
        <w:t>Qeverisë</w:t>
      </w:r>
      <w:proofErr w:type="spellEnd"/>
      <w:r w:rsidR="004732BD" w:rsidRPr="00C400D3">
        <w:rPr>
          <w:color w:val="0D0D0D" w:themeColor="text1" w:themeTint="F2"/>
        </w:rPr>
        <w:t xml:space="preserve"> </w:t>
      </w:r>
      <w:proofErr w:type="spellStart"/>
      <w:r w:rsidR="004732BD" w:rsidRPr="00C400D3">
        <w:rPr>
          <w:color w:val="0D0D0D" w:themeColor="text1" w:themeTint="F2"/>
        </w:rPr>
        <w:t>Shqiptare</w:t>
      </w:r>
      <w:proofErr w:type="spellEnd"/>
      <w:r w:rsidR="004732BD" w:rsidRPr="00C400D3">
        <w:rPr>
          <w:color w:val="0D0D0D" w:themeColor="text1" w:themeTint="F2"/>
        </w:rPr>
        <w:t xml:space="preserve"> </w:t>
      </w:r>
      <w:proofErr w:type="spellStart"/>
      <w:r w:rsidR="004732BD" w:rsidRPr="00C400D3">
        <w:rPr>
          <w:color w:val="0D0D0D" w:themeColor="text1" w:themeTint="F2"/>
        </w:rPr>
        <w:t>në</w:t>
      </w:r>
      <w:proofErr w:type="spellEnd"/>
      <w:r w:rsidR="004732BD" w:rsidRPr="00C400D3">
        <w:rPr>
          <w:color w:val="0D0D0D" w:themeColor="text1" w:themeTint="F2"/>
        </w:rPr>
        <w:t xml:space="preserve"> </w:t>
      </w:r>
      <w:proofErr w:type="spellStart"/>
      <w:r w:rsidR="004732BD" w:rsidRPr="00C400D3">
        <w:rPr>
          <w:color w:val="0D0D0D" w:themeColor="text1" w:themeTint="F2"/>
        </w:rPr>
        <w:t>luftën</w:t>
      </w:r>
      <w:proofErr w:type="spellEnd"/>
      <w:r w:rsidR="004732BD" w:rsidRPr="00C400D3">
        <w:rPr>
          <w:color w:val="0D0D0D" w:themeColor="text1" w:themeTint="F2"/>
        </w:rPr>
        <w:t xml:space="preserve"> </w:t>
      </w:r>
      <w:proofErr w:type="spellStart"/>
      <w:r w:rsidR="004732BD" w:rsidRPr="00C400D3">
        <w:rPr>
          <w:color w:val="0D0D0D" w:themeColor="text1" w:themeTint="F2"/>
        </w:rPr>
        <w:t>kund</w:t>
      </w:r>
      <w:r w:rsidR="000F0577" w:rsidRPr="00C400D3">
        <w:rPr>
          <w:color w:val="0D0D0D" w:themeColor="text1" w:themeTint="F2"/>
        </w:rPr>
        <w:t>ër</w:t>
      </w:r>
      <w:proofErr w:type="spellEnd"/>
      <w:r w:rsidR="000F0577" w:rsidRPr="00C400D3">
        <w:rPr>
          <w:color w:val="0D0D0D" w:themeColor="text1" w:themeTint="F2"/>
        </w:rPr>
        <w:t xml:space="preserve"> </w:t>
      </w:r>
      <w:proofErr w:type="spellStart"/>
      <w:r w:rsidR="000F0577" w:rsidRPr="00C400D3">
        <w:rPr>
          <w:color w:val="0D0D0D" w:themeColor="text1" w:themeTint="F2"/>
        </w:rPr>
        <w:t>pandemisë</w:t>
      </w:r>
      <w:proofErr w:type="spellEnd"/>
      <w:r w:rsidR="000F0577" w:rsidRPr="00C400D3">
        <w:rPr>
          <w:color w:val="0D0D0D" w:themeColor="text1" w:themeTint="F2"/>
        </w:rPr>
        <w:t xml:space="preserve"> </w:t>
      </w:r>
      <w:proofErr w:type="spellStart"/>
      <w:r w:rsidR="000F0577" w:rsidRPr="00C400D3">
        <w:rPr>
          <w:color w:val="0D0D0D" w:themeColor="text1" w:themeTint="F2"/>
        </w:rPr>
        <w:t>globale</w:t>
      </w:r>
      <w:proofErr w:type="spellEnd"/>
      <w:r w:rsidR="000F0577" w:rsidRPr="00C400D3">
        <w:rPr>
          <w:color w:val="0D0D0D" w:themeColor="text1" w:themeTint="F2"/>
        </w:rPr>
        <w:t xml:space="preserve"> Covid-19, </w:t>
      </w:r>
      <w:r w:rsidR="00F11F1F" w:rsidRPr="00C400D3">
        <w:rPr>
          <w:rFonts w:eastAsia="Times New Roman"/>
          <w:color w:val="0D0D0D" w:themeColor="text1" w:themeTint="F2"/>
        </w:rPr>
        <w:t xml:space="preserve">u </w:t>
      </w:r>
      <w:proofErr w:type="spellStart"/>
      <w:r w:rsidR="00F11F1F" w:rsidRPr="00C400D3">
        <w:rPr>
          <w:rFonts w:eastAsia="Times New Roman"/>
          <w:color w:val="0D0D0D" w:themeColor="text1" w:themeTint="F2"/>
        </w:rPr>
        <w:t>rishikua</w:t>
      </w:r>
      <w:proofErr w:type="spellEnd"/>
      <w:r w:rsidR="00F11F1F" w:rsidRPr="00C400D3">
        <w:rPr>
          <w:rFonts w:eastAsia="Times New Roman"/>
          <w:color w:val="0D0D0D" w:themeColor="text1" w:themeTint="F2"/>
        </w:rPr>
        <w:t xml:space="preserve"> </w:t>
      </w:r>
      <w:proofErr w:type="spellStart"/>
      <w:r w:rsidR="00F11F1F" w:rsidRPr="00C400D3">
        <w:rPr>
          <w:rFonts w:eastAsia="Times New Roman"/>
          <w:color w:val="0D0D0D" w:themeColor="text1" w:themeTint="F2"/>
        </w:rPr>
        <w:t>buxheti</w:t>
      </w:r>
      <w:proofErr w:type="spellEnd"/>
      <w:r w:rsidR="00F11F1F" w:rsidRPr="00C400D3">
        <w:rPr>
          <w:rFonts w:eastAsia="Times New Roman"/>
          <w:color w:val="0D0D0D" w:themeColor="text1" w:themeTint="F2"/>
        </w:rPr>
        <w:t xml:space="preserve"> </w:t>
      </w:r>
      <w:r w:rsidR="004732BD" w:rsidRPr="00C400D3">
        <w:rPr>
          <w:rFonts w:eastAsia="Times New Roman"/>
          <w:color w:val="0D0D0D" w:themeColor="text1" w:themeTint="F2"/>
        </w:rPr>
        <w:t xml:space="preserve">me </w:t>
      </w:r>
      <w:proofErr w:type="spellStart"/>
      <w:r w:rsidR="004732BD" w:rsidRPr="00C400D3">
        <w:rPr>
          <w:rFonts w:eastAsia="Times New Roman"/>
          <w:color w:val="0D0D0D" w:themeColor="text1" w:themeTint="F2"/>
        </w:rPr>
        <w:t>Aktin</w:t>
      </w:r>
      <w:proofErr w:type="spellEnd"/>
      <w:r w:rsidR="004732BD" w:rsidRPr="00C400D3">
        <w:rPr>
          <w:rFonts w:eastAsia="Times New Roman"/>
          <w:color w:val="0D0D0D" w:themeColor="text1" w:themeTint="F2"/>
        </w:rPr>
        <w:t xml:space="preserve"> </w:t>
      </w:r>
      <w:proofErr w:type="spellStart"/>
      <w:r w:rsidR="004732BD" w:rsidRPr="00C400D3">
        <w:rPr>
          <w:rFonts w:eastAsia="Times New Roman"/>
          <w:color w:val="0D0D0D" w:themeColor="text1" w:themeTint="F2"/>
        </w:rPr>
        <w:t>Normativ</w:t>
      </w:r>
      <w:proofErr w:type="spellEnd"/>
      <w:r w:rsidR="004732BD" w:rsidRPr="00C400D3">
        <w:rPr>
          <w:rFonts w:eastAsia="Times New Roman"/>
          <w:color w:val="0D0D0D" w:themeColor="text1" w:themeTint="F2"/>
        </w:rPr>
        <w:t xml:space="preserve"> </w:t>
      </w:r>
      <w:proofErr w:type="spellStart"/>
      <w:r w:rsidR="004732BD" w:rsidRPr="00C400D3">
        <w:rPr>
          <w:rFonts w:eastAsia="Times New Roman"/>
          <w:color w:val="0D0D0D" w:themeColor="text1" w:themeTint="F2"/>
        </w:rPr>
        <w:t>nr</w:t>
      </w:r>
      <w:proofErr w:type="spellEnd"/>
      <w:r w:rsidR="004732BD" w:rsidRPr="00C400D3">
        <w:rPr>
          <w:rFonts w:eastAsia="Times New Roman"/>
          <w:color w:val="0D0D0D" w:themeColor="text1" w:themeTint="F2"/>
        </w:rPr>
        <w:t>. 15</w:t>
      </w:r>
      <w:r w:rsidR="004732BD" w:rsidRPr="00C400D3">
        <w:rPr>
          <w:color w:val="0D0D0D" w:themeColor="text1" w:themeTint="F2"/>
        </w:rPr>
        <w:t xml:space="preserve">, </w:t>
      </w:r>
      <w:proofErr w:type="spellStart"/>
      <w:r w:rsidR="004732BD" w:rsidRPr="00C400D3">
        <w:rPr>
          <w:color w:val="0D0D0D" w:themeColor="text1" w:themeTint="F2"/>
        </w:rPr>
        <w:t>datë</w:t>
      </w:r>
      <w:proofErr w:type="spellEnd"/>
      <w:r w:rsidR="004732BD" w:rsidRPr="00C400D3">
        <w:rPr>
          <w:color w:val="0D0D0D" w:themeColor="text1" w:themeTint="F2"/>
        </w:rPr>
        <w:t xml:space="preserve"> 15.04.2020 “</w:t>
      </w:r>
      <w:proofErr w:type="spellStart"/>
      <w:r w:rsidR="004732BD" w:rsidRPr="00C400D3">
        <w:rPr>
          <w:color w:val="0D0D0D" w:themeColor="text1" w:themeTint="F2"/>
        </w:rPr>
        <w:t>Për</w:t>
      </w:r>
      <w:proofErr w:type="spellEnd"/>
      <w:r w:rsidR="004732BD" w:rsidRPr="00C400D3">
        <w:rPr>
          <w:color w:val="0D0D0D" w:themeColor="text1" w:themeTint="F2"/>
        </w:rPr>
        <w:t xml:space="preserve"> </w:t>
      </w:r>
      <w:proofErr w:type="spellStart"/>
      <w:r w:rsidR="004732BD" w:rsidRPr="00C400D3">
        <w:rPr>
          <w:color w:val="0D0D0D" w:themeColor="text1" w:themeTint="F2"/>
        </w:rPr>
        <w:t>disa</w:t>
      </w:r>
      <w:proofErr w:type="spellEnd"/>
      <w:r w:rsidR="004732BD" w:rsidRPr="00C400D3">
        <w:rPr>
          <w:color w:val="0D0D0D" w:themeColor="text1" w:themeTint="F2"/>
        </w:rPr>
        <w:t xml:space="preserve"> </w:t>
      </w:r>
      <w:proofErr w:type="spellStart"/>
      <w:r w:rsidR="004732BD" w:rsidRPr="00C400D3">
        <w:rPr>
          <w:color w:val="0D0D0D" w:themeColor="text1" w:themeTint="F2"/>
        </w:rPr>
        <w:t>ndryshime</w:t>
      </w:r>
      <w:proofErr w:type="spellEnd"/>
      <w:r w:rsidR="004732BD" w:rsidRPr="00C400D3">
        <w:rPr>
          <w:color w:val="0D0D0D" w:themeColor="text1" w:themeTint="F2"/>
        </w:rPr>
        <w:t xml:space="preserve"> </w:t>
      </w:r>
      <w:proofErr w:type="spellStart"/>
      <w:r w:rsidR="004732BD" w:rsidRPr="00C400D3">
        <w:rPr>
          <w:color w:val="0D0D0D" w:themeColor="text1" w:themeTint="F2"/>
        </w:rPr>
        <w:t>dhe</w:t>
      </w:r>
      <w:proofErr w:type="spellEnd"/>
      <w:r w:rsidR="004732BD" w:rsidRPr="00C400D3">
        <w:rPr>
          <w:color w:val="0D0D0D" w:themeColor="text1" w:themeTint="F2"/>
        </w:rPr>
        <w:t xml:space="preserve"> </w:t>
      </w:r>
      <w:proofErr w:type="spellStart"/>
      <w:r w:rsidR="004732BD" w:rsidRPr="00C400D3">
        <w:rPr>
          <w:color w:val="0D0D0D" w:themeColor="text1" w:themeTint="F2"/>
        </w:rPr>
        <w:t>shtesa</w:t>
      </w:r>
      <w:proofErr w:type="spellEnd"/>
      <w:r w:rsidR="004732BD" w:rsidRPr="00C400D3">
        <w:rPr>
          <w:color w:val="0D0D0D" w:themeColor="text1" w:themeTint="F2"/>
        </w:rPr>
        <w:t xml:space="preserve"> </w:t>
      </w:r>
      <w:proofErr w:type="spellStart"/>
      <w:r w:rsidR="004732BD" w:rsidRPr="00C400D3">
        <w:rPr>
          <w:color w:val="0D0D0D" w:themeColor="text1" w:themeTint="F2"/>
        </w:rPr>
        <w:t>në</w:t>
      </w:r>
      <w:proofErr w:type="spellEnd"/>
      <w:r w:rsidR="004732BD" w:rsidRPr="00C400D3">
        <w:rPr>
          <w:color w:val="0D0D0D" w:themeColor="text1" w:themeTint="F2"/>
        </w:rPr>
        <w:t xml:space="preserve"> </w:t>
      </w:r>
      <w:proofErr w:type="spellStart"/>
      <w:r w:rsidR="004732BD" w:rsidRPr="00C400D3">
        <w:rPr>
          <w:color w:val="0D0D0D" w:themeColor="text1" w:themeTint="F2"/>
        </w:rPr>
        <w:t>Ligjin</w:t>
      </w:r>
      <w:proofErr w:type="spellEnd"/>
      <w:r w:rsidR="004732BD" w:rsidRPr="00C400D3">
        <w:rPr>
          <w:color w:val="0D0D0D" w:themeColor="text1" w:themeTint="F2"/>
        </w:rPr>
        <w:t xml:space="preserve"> nr.88/2019 “</w:t>
      </w:r>
      <w:proofErr w:type="spellStart"/>
      <w:r w:rsidR="004732BD" w:rsidRPr="00C400D3">
        <w:rPr>
          <w:color w:val="0D0D0D" w:themeColor="text1" w:themeTint="F2"/>
        </w:rPr>
        <w:t>Për</w:t>
      </w:r>
      <w:proofErr w:type="spellEnd"/>
      <w:r w:rsidR="004732BD" w:rsidRPr="00C400D3">
        <w:rPr>
          <w:color w:val="0D0D0D" w:themeColor="text1" w:themeTint="F2"/>
        </w:rPr>
        <w:t xml:space="preserve"> </w:t>
      </w:r>
      <w:proofErr w:type="spellStart"/>
      <w:r w:rsidR="004732BD" w:rsidRPr="00C400D3">
        <w:rPr>
          <w:color w:val="0D0D0D" w:themeColor="text1" w:themeTint="F2"/>
        </w:rPr>
        <w:t>buxhetin</w:t>
      </w:r>
      <w:proofErr w:type="spellEnd"/>
      <w:r w:rsidR="004732BD" w:rsidRPr="00C400D3">
        <w:rPr>
          <w:color w:val="0D0D0D" w:themeColor="text1" w:themeTint="F2"/>
        </w:rPr>
        <w:t xml:space="preserve"> e </w:t>
      </w:r>
      <w:proofErr w:type="spellStart"/>
      <w:r w:rsidR="004732BD" w:rsidRPr="00C400D3">
        <w:rPr>
          <w:color w:val="0D0D0D" w:themeColor="text1" w:themeTint="F2"/>
        </w:rPr>
        <w:t>vitit</w:t>
      </w:r>
      <w:proofErr w:type="spellEnd"/>
      <w:r w:rsidR="004732BD" w:rsidRPr="00C400D3">
        <w:rPr>
          <w:color w:val="0D0D0D" w:themeColor="text1" w:themeTint="F2"/>
        </w:rPr>
        <w:t xml:space="preserve"> 2020”, </w:t>
      </w:r>
      <w:proofErr w:type="spellStart"/>
      <w:r w:rsidR="004732BD" w:rsidRPr="00C400D3">
        <w:rPr>
          <w:color w:val="0D0D0D" w:themeColor="text1" w:themeTint="F2"/>
        </w:rPr>
        <w:t>të</w:t>
      </w:r>
      <w:proofErr w:type="spellEnd"/>
      <w:r w:rsidR="004732BD" w:rsidRPr="00C400D3">
        <w:rPr>
          <w:color w:val="0D0D0D" w:themeColor="text1" w:themeTint="F2"/>
        </w:rPr>
        <w:t xml:space="preserve"> </w:t>
      </w:r>
      <w:proofErr w:type="spellStart"/>
      <w:r w:rsidR="004732BD" w:rsidRPr="00C400D3">
        <w:rPr>
          <w:color w:val="0D0D0D" w:themeColor="text1" w:themeTint="F2"/>
        </w:rPr>
        <w:t>ndryshuar</w:t>
      </w:r>
      <w:proofErr w:type="spellEnd"/>
      <w:r w:rsidR="004732BD" w:rsidRPr="00C400D3">
        <w:rPr>
          <w:color w:val="0D0D0D" w:themeColor="text1" w:themeTint="F2"/>
        </w:rPr>
        <w:t xml:space="preserve">, </w:t>
      </w:r>
      <w:proofErr w:type="spellStart"/>
      <w:r w:rsidR="004732BD" w:rsidRPr="00C400D3">
        <w:rPr>
          <w:rFonts w:eastAsia="Times New Roman"/>
          <w:color w:val="0D0D0D" w:themeColor="text1" w:themeTint="F2"/>
        </w:rPr>
        <w:t>i</w:t>
      </w:r>
      <w:proofErr w:type="spellEnd"/>
      <w:r w:rsidR="004732BD" w:rsidRPr="00C400D3">
        <w:rPr>
          <w:rFonts w:eastAsia="Times New Roman"/>
          <w:color w:val="0D0D0D" w:themeColor="text1" w:themeTint="F2"/>
        </w:rPr>
        <w:t xml:space="preserve"> </w:t>
      </w:r>
      <w:proofErr w:type="spellStart"/>
      <w:r w:rsidR="004732BD" w:rsidRPr="00C400D3">
        <w:rPr>
          <w:rFonts w:eastAsia="Times New Roman"/>
          <w:color w:val="0D0D0D" w:themeColor="text1" w:themeTint="F2"/>
        </w:rPr>
        <w:t>cili</w:t>
      </w:r>
      <w:proofErr w:type="spellEnd"/>
      <w:r w:rsidR="004732BD" w:rsidRPr="00C400D3">
        <w:rPr>
          <w:rFonts w:eastAsia="Times New Roman"/>
          <w:color w:val="0D0D0D" w:themeColor="text1" w:themeTint="F2"/>
        </w:rPr>
        <w:t xml:space="preserve"> </w:t>
      </w:r>
      <w:r>
        <w:rPr>
          <w:color w:val="0D0D0D" w:themeColor="text1" w:themeTint="F2"/>
        </w:rPr>
        <w:t xml:space="preserve">u </w:t>
      </w:r>
      <w:proofErr w:type="spellStart"/>
      <w:r>
        <w:rPr>
          <w:color w:val="0D0D0D" w:themeColor="text1" w:themeTint="F2"/>
        </w:rPr>
        <w:t>pakësua</w:t>
      </w:r>
      <w:proofErr w:type="spellEnd"/>
      <w:r>
        <w:rPr>
          <w:color w:val="0D0D0D" w:themeColor="text1" w:themeTint="F2"/>
        </w:rPr>
        <w:t xml:space="preserve"> </w:t>
      </w:r>
      <w:proofErr w:type="spellStart"/>
      <w:r>
        <w:rPr>
          <w:color w:val="0D0D0D" w:themeColor="text1" w:themeTint="F2"/>
        </w:rPr>
        <w:t>në</w:t>
      </w:r>
      <w:proofErr w:type="spellEnd"/>
      <w:r>
        <w:rPr>
          <w:color w:val="0D0D0D" w:themeColor="text1" w:themeTint="F2"/>
        </w:rPr>
        <w:t xml:space="preserve"> </w:t>
      </w:r>
      <w:proofErr w:type="spellStart"/>
      <w:r>
        <w:rPr>
          <w:color w:val="0D0D0D" w:themeColor="text1" w:themeTint="F2"/>
        </w:rPr>
        <w:t>rreth</w:t>
      </w:r>
      <w:proofErr w:type="spellEnd"/>
      <w:r>
        <w:rPr>
          <w:color w:val="0D0D0D" w:themeColor="text1" w:themeTint="F2"/>
        </w:rPr>
        <w:t xml:space="preserve"> 17</w:t>
      </w:r>
      <w:r w:rsidR="00F11F1F" w:rsidRPr="00C400D3">
        <w:rPr>
          <w:color w:val="0D0D0D" w:themeColor="text1" w:themeTint="F2"/>
        </w:rPr>
        <w:t xml:space="preserve">% </w:t>
      </w:r>
      <w:proofErr w:type="spellStart"/>
      <w:r w:rsidR="00F11F1F" w:rsidRPr="00C400D3">
        <w:rPr>
          <w:color w:val="0D0D0D" w:themeColor="text1" w:themeTint="F2"/>
        </w:rPr>
        <w:t>ose</w:t>
      </w:r>
      <w:proofErr w:type="spellEnd"/>
      <w:r w:rsidR="00F11F1F" w:rsidRPr="00C400D3">
        <w:rPr>
          <w:color w:val="0D0D0D" w:themeColor="text1" w:themeTint="F2"/>
        </w:rPr>
        <w:t xml:space="preserve"> </w:t>
      </w:r>
      <w:proofErr w:type="spellStart"/>
      <w:r w:rsidR="00F11F1F" w:rsidRPr="00C400D3">
        <w:rPr>
          <w:rFonts w:eastAsia="Times New Roman"/>
          <w:color w:val="0D0D0D" w:themeColor="text1" w:themeTint="F2"/>
        </w:rPr>
        <w:t>në</w:t>
      </w:r>
      <w:proofErr w:type="spellEnd"/>
      <w:r w:rsidR="00F11F1F" w:rsidRPr="00C400D3">
        <w:rPr>
          <w:rFonts w:eastAsia="Times New Roman"/>
          <w:color w:val="0D0D0D" w:themeColor="text1" w:themeTint="F2"/>
        </w:rPr>
        <w:t xml:space="preserve"> </w:t>
      </w:r>
      <w:proofErr w:type="spellStart"/>
      <w:r w:rsidR="00F11F1F" w:rsidRPr="00C400D3">
        <w:rPr>
          <w:rFonts w:eastAsia="Times New Roman"/>
          <w:color w:val="0D0D0D" w:themeColor="text1" w:themeTint="F2"/>
        </w:rPr>
        <w:t>masën</w:t>
      </w:r>
      <w:proofErr w:type="spellEnd"/>
      <w:r w:rsidR="00F11F1F" w:rsidRPr="00C400D3">
        <w:rPr>
          <w:rFonts w:eastAsia="Times New Roman"/>
          <w:color w:val="0D0D0D" w:themeColor="text1" w:themeTint="F2"/>
        </w:rPr>
        <w:t xml:space="preserve"> 3 (</w:t>
      </w:r>
      <w:proofErr w:type="spellStart"/>
      <w:r w:rsidR="00F11F1F" w:rsidRPr="00C400D3">
        <w:rPr>
          <w:rFonts w:eastAsia="Times New Roman"/>
          <w:color w:val="0D0D0D" w:themeColor="text1" w:themeTint="F2"/>
        </w:rPr>
        <w:t>tre</w:t>
      </w:r>
      <w:proofErr w:type="spellEnd"/>
      <w:r w:rsidR="00F11F1F" w:rsidRPr="00C400D3">
        <w:rPr>
          <w:rFonts w:eastAsia="Times New Roman"/>
          <w:color w:val="0D0D0D" w:themeColor="text1" w:themeTint="F2"/>
        </w:rPr>
        <w:t xml:space="preserve">) </w:t>
      </w:r>
      <w:proofErr w:type="spellStart"/>
      <w:r w:rsidR="00F11F1F" w:rsidRPr="00C400D3">
        <w:rPr>
          <w:rFonts w:eastAsia="Times New Roman"/>
          <w:color w:val="0D0D0D" w:themeColor="text1" w:themeTint="F2"/>
        </w:rPr>
        <w:t>milion</w:t>
      </w:r>
      <w:proofErr w:type="spellEnd"/>
      <w:r w:rsidR="00F11F1F" w:rsidRPr="00C400D3">
        <w:rPr>
          <w:rFonts w:eastAsia="Times New Roman"/>
          <w:color w:val="0D0D0D" w:themeColor="text1" w:themeTint="F2"/>
        </w:rPr>
        <w:t xml:space="preserve"> </w:t>
      </w:r>
      <w:proofErr w:type="spellStart"/>
      <w:r w:rsidR="00F11F1F" w:rsidRPr="00C400D3">
        <w:rPr>
          <w:rFonts w:eastAsia="Times New Roman"/>
          <w:color w:val="0D0D0D" w:themeColor="text1" w:themeTint="F2"/>
        </w:rPr>
        <w:t>lekë</w:t>
      </w:r>
      <w:proofErr w:type="spellEnd"/>
      <w:r w:rsidR="00F11F1F" w:rsidRPr="00C400D3">
        <w:rPr>
          <w:rFonts w:eastAsia="Times New Roman"/>
          <w:color w:val="0D0D0D" w:themeColor="text1" w:themeTint="F2"/>
        </w:rPr>
        <w:t xml:space="preserve"> </w:t>
      </w:r>
      <w:proofErr w:type="spellStart"/>
      <w:r w:rsidR="00F11F1F" w:rsidRPr="00C400D3">
        <w:rPr>
          <w:rFonts w:eastAsia="Times New Roman"/>
          <w:color w:val="0D0D0D" w:themeColor="text1" w:themeTint="F2"/>
        </w:rPr>
        <w:t>nga</w:t>
      </w:r>
      <w:proofErr w:type="spellEnd"/>
      <w:r w:rsidR="00F11F1F" w:rsidRPr="00C400D3">
        <w:rPr>
          <w:rFonts w:eastAsia="Times New Roman"/>
          <w:color w:val="0D0D0D" w:themeColor="text1" w:themeTint="F2"/>
        </w:rPr>
        <w:t xml:space="preserve"> </w:t>
      </w:r>
      <w:proofErr w:type="spellStart"/>
      <w:r w:rsidR="00F11F1F" w:rsidRPr="00C400D3">
        <w:rPr>
          <w:rFonts w:eastAsia="Times New Roman"/>
          <w:color w:val="0D0D0D" w:themeColor="text1" w:themeTint="F2"/>
        </w:rPr>
        <w:t>zëri</w:t>
      </w:r>
      <w:proofErr w:type="spellEnd"/>
      <w:r w:rsidR="00F11F1F" w:rsidRPr="00C400D3">
        <w:rPr>
          <w:rFonts w:eastAsia="Times New Roman"/>
          <w:color w:val="0D0D0D" w:themeColor="text1" w:themeTint="F2"/>
        </w:rPr>
        <w:t xml:space="preserve"> “</w:t>
      </w:r>
      <w:proofErr w:type="spellStart"/>
      <w:r w:rsidR="00F11F1F" w:rsidRPr="00C400D3">
        <w:rPr>
          <w:rFonts w:eastAsia="Times New Roman"/>
          <w:i/>
          <w:color w:val="0D0D0D" w:themeColor="text1" w:themeTint="F2"/>
        </w:rPr>
        <w:t>shpenzime</w:t>
      </w:r>
      <w:proofErr w:type="spellEnd"/>
      <w:r w:rsidR="00F11F1F" w:rsidRPr="00C400D3">
        <w:rPr>
          <w:rFonts w:eastAsia="Times New Roman"/>
          <w:i/>
          <w:color w:val="0D0D0D" w:themeColor="text1" w:themeTint="F2"/>
        </w:rPr>
        <w:t xml:space="preserve"> operative</w:t>
      </w:r>
      <w:r w:rsidR="004732BD" w:rsidRPr="00C400D3">
        <w:rPr>
          <w:rFonts w:eastAsia="Times New Roman"/>
          <w:color w:val="0D0D0D" w:themeColor="text1" w:themeTint="F2"/>
        </w:rPr>
        <w:t xml:space="preserve"> </w:t>
      </w:r>
      <w:proofErr w:type="spellStart"/>
      <w:r w:rsidR="004732BD" w:rsidRPr="00C400D3">
        <w:rPr>
          <w:rFonts w:eastAsia="Times New Roman"/>
          <w:color w:val="0D0D0D" w:themeColor="text1" w:themeTint="F2"/>
        </w:rPr>
        <w:t>dhe</w:t>
      </w:r>
      <w:proofErr w:type="spellEnd"/>
      <w:r w:rsidR="004732BD" w:rsidRPr="00C400D3">
        <w:rPr>
          <w:rFonts w:eastAsia="Times New Roman"/>
          <w:color w:val="0D0D0D" w:themeColor="text1" w:themeTint="F2"/>
        </w:rPr>
        <w:t xml:space="preserve"> </w:t>
      </w:r>
      <w:proofErr w:type="spellStart"/>
      <w:r w:rsidR="004732BD" w:rsidRPr="00C400D3">
        <w:rPr>
          <w:rFonts w:eastAsia="Times New Roman"/>
          <w:color w:val="0D0D0D" w:themeColor="text1" w:themeTint="F2"/>
        </w:rPr>
        <w:t>kalimin</w:t>
      </w:r>
      <w:proofErr w:type="spellEnd"/>
      <w:r w:rsidR="004732BD" w:rsidRPr="00C400D3">
        <w:rPr>
          <w:rFonts w:eastAsia="Times New Roman"/>
          <w:color w:val="0D0D0D" w:themeColor="text1" w:themeTint="F2"/>
        </w:rPr>
        <w:t xml:space="preserve"> e </w:t>
      </w:r>
      <w:proofErr w:type="spellStart"/>
      <w:r w:rsidR="004732BD" w:rsidRPr="00C400D3">
        <w:rPr>
          <w:rFonts w:eastAsia="Times New Roman"/>
          <w:color w:val="0D0D0D" w:themeColor="text1" w:themeTint="F2"/>
        </w:rPr>
        <w:t>tij</w:t>
      </w:r>
      <w:proofErr w:type="spellEnd"/>
      <w:r w:rsidR="004732BD" w:rsidRPr="00C400D3">
        <w:rPr>
          <w:rFonts w:eastAsia="Times New Roman"/>
          <w:color w:val="0D0D0D" w:themeColor="text1" w:themeTint="F2"/>
        </w:rPr>
        <w:t xml:space="preserve"> </w:t>
      </w:r>
      <w:proofErr w:type="spellStart"/>
      <w:r w:rsidR="00F11F1F" w:rsidRPr="00C400D3">
        <w:rPr>
          <w:rFonts w:eastAsia="Times New Roman"/>
          <w:color w:val="0D0D0D" w:themeColor="text1" w:themeTint="F2"/>
        </w:rPr>
        <w:t>në</w:t>
      </w:r>
      <w:proofErr w:type="spellEnd"/>
      <w:r w:rsidR="00F11F1F" w:rsidRPr="00C400D3">
        <w:rPr>
          <w:rFonts w:eastAsia="Times New Roman"/>
          <w:color w:val="0D0D0D" w:themeColor="text1" w:themeTint="F2"/>
        </w:rPr>
        <w:t xml:space="preserve"> </w:t>
      </w:r>
      <w:proofErr w:type="spellStart"/>
      <w:r w:rsidR="00F11F1F" w:rsidRPr="00C400D3">
        <w:rPr>
          <w:rFonts w:eastAsia="Times New Roman"/>
          <w:color w:val="0D0D0D" w:themeColor="text1" w:themeTint="F2"/>
        </w:rPr>
        <w:t>buxhetin</w:t>
      </w:r>
      <w:proofErr w:type="spellEnd"/>
      <w:r w:rsidR="00F11F1F" w:rsidRPr="00C400D3">
        <w:rPr>
          <w:rFonts w:eastAsia="Times New Roman"/>
          <w:color w:val="0D0D0D" w:themeColor="text1" w:themeTint="F2"/>
        </w:rPr>
        <w:t xml:space="preserve"> e </w:t>
      </w:r>
      <w:proofErr w:type="spellStart"/>
      <w:r w:rsidR="00F11F1F" w:rsidRPr="00C400D3">
        <w:rPr>
          <w:rFonts w:eastAsia="Times New Roman"/>
          <w:color w:val="0D0D0D" w:themeColor="text1" w:themeTint="F2"/>
        </w:rPr>
        <w:t>shtetit</w:t>
      </w:r>
      <w:proofErr w:type="spellEnd"/>
      <w:r w:rsidR="00F11F1F" w:rsidRPr="00C400D3">
        <w:rPr>
          <w:rFonts w:eastAsia="Times New Roman"/>
          <w:color w:val="0D0D0D" w:themeColor="text1" w:themeTint="F2"/>
        </w:rPr>
        <w:t xml:space="preserve"> </w:t>
      </w:r>
      <w:proofErr w:type="spellStart"/>
      <w:r w:rsidR="00F11F1F" w:rsidRPr="00C400D3">
        <w:rPr>
          <w:rFonts w:eastAsia="Times New Roman"/>
          <w:color w:val="0D0D0D" w:themeColor="text1" w:themeTint="F2"/>
        </w:rPr>
        <w:t>për</w:t>
      </w:r>
      <w:proofErr w:type="spellEnd"/>
      <w:r w:rsidR="00F11F1F" w:rsidRPr="00C400D3">
        <w:rPr>
          <w:rFonts w:eastAsia="Times New Roman"/>
          <w:color w:val="0D0D0D" w:themeColor="text1" w:themeTint="F2"/>
        </w:rPr>
        <w:t xml:space="preserve"> </w:t>
      </w:r>
      <w:proofErr w:type="spellStart"/>
      <w:r w:rsidR="00F11F1F" w:rsidRPr="00C400D3">
        <w:rPr>
          <w:rFonts w:eastAsia="Times New Roman"/>
          <w:color w:val="0D0D0D" w:themeColor="text1" w:themeTint="F2"/>
        </w:rPr>
        <w:t>emergjencën</w:t>
      </w:r>
      <w:proofErr w:type="spellEnd"/>
      <w:r w:rsidR="00F11F1F" w:rsidRPr="00C400D3">
        <w:rPr>
          <w:rFonts w:eastAsia="Times New Roman"/>
          <w:color w:val="0D0D0D" w:themeColor="text1" w:themeTint="F2"/>
        </w:rPr>
        <w:t xml:space="preserve"> </w:t>
      </w:r>
      <w:proofErr w:type="spellStart"/>
      <w:r w:rsidR="00F11F1F" w:rsidRPr="00C400D3">
        <w:rPr>
          <w:rFonts w:eastAsia="Times New Roman"/>
          <w:color w:val="0D0D0D" w:themeColor="text1" w:themeTint="F2"/>
        </w:rPr>
        <w:t>shëndetësore</w:t>
      </w:r>
      <w:proofErr w:type="spellEnd"/>
      <w:r w:rsidR="00F11F1F" w:rsidRPr="00C400D3">
        <w:rPr>
          <w:rFonts w:eastAsia="Times New Roman"/>
          <w:color w:val="0D0D0D" w:themeColor="text1" w:themeTint="F2"/>
        </w:rPr>
        <w:t xml:space="preserve">. </w:t>
      </w:r>
      <w:proofErr w:type="spellStart"/>
      <w:r>
        <w:rPr>
          <w:color w:val="0D0D0D" w:themeColor="text1" w:themeTint="F2"/>
        </w:rPr>
        <w:t>Gjatë</w:t>
      </w:r>
      <w:proofErr w:type="spellEnd"/>
      <w:r>
        <w:rPr>
          <w:color w:val="0D0D0D" w:themeColor="text1" w:themeTint="F2"/>
        </w:rPr>
        <w:t xml:space="preserve"> </w:t>
      </w:r>
      <w:proofErr w:type="spellStart"/>
      <w:r>
        <w:rPr>
          <w:color w:val="0D0D0D" w:themeColor="text1" w:themeTint="F2"/>
        </w:rPr>
        <w:t>vitit</w:t>
      </w:r>
      <w:proofErr w:type="spellEnd"/>
      <w:r>
        <w:rPr>
          <w:color w:val="0D0D0D" w:themeColor="text1" w:themeTint="F2"/>
        </w:rPr>
        <w:t xml:space="preserve"> 2020, </w:t>
      </w:r>
      <w:proofErr w:type="spellStart"/>
      <w:r>
        <w:rPr>
          <w:color w:val="0D0D0D" w:themeColor="text1" w:themeTint="F2"/>
        </w:rPr>
        <w:t>janë</w:t>
      </w:r>
      <w:proofErr w:type="spellEnd"/>
      <w:r>
        <w:rPr>
          <w:color w:val="0D0D0D" w:themeColor="text1" w:themeTint="F2"/>
        </w:rPr>
        <w:t xml:space="preserve"> </w:t>
      </w:r>
      <w:proofErr w:type="spellStart"/>
      <w:r>
        <w:rPr>
          <w:color w:val="0D0D0D" w:themeColor="text1" w:themeTint="F2"/>
        </w:rPr>
        <w:t>kryer</w:t>
      </w:r>
      <w:proofErr w:type="spellEnd"/>
      <w:r>
        <w:rPr>
          <w:color w:val="0D0D0D" w:themeColor="text1" w:themeTint="F2"/>
        </w:rPr>
        <w:t xml:space="preserve"> </w:t>
      </w:r>
      <w:proofErr w:type="spellStart"/>
      <w:r w:rsidR="006C5ED0" w:rsidRPr="00C400D3">
        <w:rPr>
          <w:color w:val="0D0D0D" w:themeColor="text1" w:themeTint="F2"/>
        </w:rPr>
        <w:t>rialokime</w:t>
      </w:r>
      <w:proofErr w:type="spellEnd"/>
      <w:r w:rsidR="006C5ED0" w:rsidRPr="00C400D3">
        <w:rPr>
          <w:color w:val="0D0D0D" w:themeColor="text1" w:themeTint="F2"/>
        </w:rPr>
        <w:t xml:space="preserve"> </w:t>
      </w:r>
      <w:proofErr w:type="spellStart"/>
      <w:r w:rsidR="006C5ED0" w:rsidRPr="00C400D3">
        <w:rPr>
          <w:color w:val="0D0D0D" w:themeColor="text1" w:themeTint="F2"/>
        </w:rPr>
        <w:t>brenda</w:t>
      </w:r>
      <w:proofErr w:type="spellEnd"/>
      <w:r w:rsidR="006C5ED0" w:rsidRPr="00C400D3">
        <w:rPr>
          <w:color w:val="0D0D0D" w:themeColor="text1" w:themeTint="F2"/>
        </w:rPr>
        <w:t xml:space="preserve"> </w:t>
      </w:r>
      <w:proofErr w:type="spellStart"/>
      <w:r w:rsidR="006C5ED0" w:rsidRPr="00C400D3">
        <w:rPr>
          <w:color w:val="0D0D0D" w:themeColor="text1" w:themeTint="F2"/>
        </w:rPr>
        <w:t>fondeve</w:t>
      </w:r>
      <w:proofErr w:type="spellEnd"/>
      <w:r w:rsidR="006C5ED0" w:rsidRPr="00C400D3">
        <w:rPr>
          <w:color w:val="0D0D0D" w:themeColor="text1" w:themeTint="F2"/>
        </w:rPr>
        <w:t xml:space="preserve"> </w:t>
      </w:r>
      <w:proofErr w:type="spellStart"/>
      <w:r w:rsidR="006C5ED0" w:rsidRPr="00C400D3">
        <w:rPr>
          <w:color w:val="0D0D0D" w:themeColor="text1" w:themeTint="F2"/>
        </w:rPr>
        <w:t>buxhe</w:t>
      </w:r>
      <w:r>
        <w:rPr>
          <w:color w:val="0D0D0D" w:themeColor="text1" w:themeTint="F2"/>
        </w:rPr>
        <w:t>tore</w:t>
      </w:r>
      <w:proofErr w:type="spellEnd"/>
      <w:r>
        <w:rPr>
          <w:color w:val="0D0D0D" w:themeColor="text1" w:themeTint="F2"/>
        </w:rPr>
        <w:t xml:space="preserve">, </w:t>
      </w:r>
      <w:proofErr w:type="spellStart"/>
      <w:r>
        <w:rPr>
          <w:color w:val="0D0D0D" w:themeColor="text1" w:themeTint="F2"/>
        </w:rPr>
        <w:t>për</w:t>
      </w:r>
      <w:proofErr w:type="spellEnd"/>
      <w:r>
        <w:rPr>
          <w:color w:val="0D0D0D" w:themeColor="text1" w:themeTint="F2"/>
        </w:rPr>
        <w:t xml:space="preserve"> </w:t>
      </w:r>
      <w:proofErr w:type="spellStart"/>
      <w:r>
        <w:rPr>
          <w:color w:val="0D0D0D" w:themeColor="text1" w:themeTint="F2"/>
        </w:rPr>
        <w:t>nevojat</w:t>
      </w:r>
      <w:proofErr w:type="spellEnd"/>
      <w:r>
        <w:rPr>
          <w:color w:val="0D0D0D" w:themeColor="text1" w:themeTint="F2"/>
        </w:rPr>
        <w:t xml:space="preserve"> e vet </w:t>
      </w:r>
      <w:proofErr w:type="spellStart"/>
      <w:r>
        <w:rPr>
          <w:color w:val="0D0D0D" w:themeColor="text1" w:themeTint="F2"/>
        </w:rPr>
        <w:t>Zyrës</w:t>
      </w:r>
      <w:proofErr w:type="spellEnd"/>
      <w:r>
        <w:rPr>
          <w:color w:val="0D0D0D" w:themeColor="text1" w:themeTint="F2"/>
        </w:rPr>
        <w:t>.</w:t>
      </w:r>
    </w:p>
    <w:p w:rsidR="00BC2353" w:rsidRPr="00C400D3" w:rsidRDefault="00F11F1F" w:rsidP="000F7C1E">
      <w:pPr>
        <w:pStyle w:val="NormalWeb"/>
        <w:shd w:val="clear" w:color="auto" w:fill="FFFFFF"/>
        <w:spacing w:before="0" w:beforeAutospacing="0" w:after="120" w:afterAutospacing="0" w:line="276" w:lineRule="auto"/>
        <w:jc w:val="both"/>
        <w:rPr>
          <w:color w:val="0D0D0D" w:themeColor="text1" w:themeTint="F2"/>
        </w:rPr>
      </w:pPr>
      <w:proofErr w:type="spellStart"/>
      <w:r w:rsidRPr="00C400D3">
        <w:rPr>
          <w:rFonts w:eastAsia="Times New Roman"/>
          <w:color w:val="0D0D0D" w:themeColor="text1" w:themeTint="F2"/>
        </w:rPr>
        <w:t>Situata</w:t>
      </w:r>
      <w:proofErr w:type="spellEnd"/>
      <w:r w:rsidRPr="00C400D3">
        <w:rPr>
          <w:rFonts w:eastAsia="Times New Roman"/>
          <w:color w:val="0D0D0D" w:themeColor="text1" w:themeTint="F2"/>
        </w:rPr>
        <w:t xml:space="preserve"> e </w:t>
      </w:r>
      <w:proofErr w:type="spellStart"/>
      <w:r w:rsidRPr="00C400D3">
        <w:rPr>
          <w:rFonts w:eastAsia="Times New Roman"/>
          <w:color w:val="0D0D0D" w:themeColor="text1" w:themeTint="F2"/>
        </w:rPr>
        <w:t>krijuar</w:t>
      </w:r>
      <w:proofErr w:type="spellEnd"/>
      <w:r w:rsidRPr="00C400D3">
        <w:rPr>
          <w:rFonts w:eastAsia="Times New Roman"/>
          <w:color w:val="0D0D0D" w:themeColor="text1" w:themeTint="F2"/>
        </w:rPr>
        <w:t xml:space="preserve"> </w:t>
      </w:r>
      <w:proofErr w:type="spellStart"/>
      <w:r w:rsidRPr="00C400D3">
        <w:rPr>
          <w:rFonts w:eastAsia="Times New Roman"/>
          <w:color w:val="0D0D0D" w:themeColor="text1" w:themeTint="F2"/>
        </w:rPr>
        <w:t>pati</w:t>
      </w:r>
      <w:proofErr w:type="spellEnd"/>
      <w:r w:rsidRPr="00C400D3">
        <w:rPr>
          <w:rFonts w:eastAsia="Times New Roman"/>
          <w:color w:val="0D0D0D" w:themeColor="text1" w:themeTint="F2"/>
        </w:rPr>
        <w:t xml:space="preserve"> </w:t>
      </w:r>
      <w:proofErr w:type="spellStart"/>
      <w:r w:rsidRPr="00C400D3">
        <w:rPr>
          <w:rFonts w:eastAsia="Times New Roman"/>
          <w:color w:val="0D0D0D" w:themeColor="text1" w:themeTint="F2"/>
        </w:rPr>
        <w:t>efektet</w:t>
      </w:r>
      <w:proofErr w:type="spellEnd"/>
      <w:r w:rsidRPr="00C400D3">
        <w:rPr>
          <w:rFonts w:eastAsia="Times New Roman"/>
          <w:color w:val="0D0D0D" w:themeColor="text1" w:themeTint="F2"/>
        </w:rPr>
        <w:t xml:space="preserve"> e </w:t>
      </w:r>
      <w:proofErr w:type="spellStart"/>
      <w:r w:rsidR="00DD3A37" w:rsidRPr="00C400D3">
        <w:rPr>
          <w:color w:val="0D0D0D" w:themeColor="text1" w:themeTint="F2"/>
        </w:rPr>
        <w:t>ndik</w:t>
      </w:r>
      <w:r w:rsidR="000F0577" w:rsidRPr="00C400D3">
        <w:rPr>
          <w:color w:val="0D0D0D" w:themeColor="text1" w:themeTint="F2"/>
        </w:rPr>
        <w:t>imin</w:t>
      </w:r>
      <w:proofErr w:type="spellEnd"/>
      <w:r w:rsidR="000F0577" w:rsidRPr="00C400D3">
        <w:rPr>
          <w:color w:val="0D0D0D" w:themeColor="text1" w:themeTint="F2"/>
        </w:rPr>
        <w:t xml:space="preserve"> e </w:t>
      </w:r>
      <w:proofErr w:type="spellStart"/>
      <w:r w:rsidR="000F0577" w:rsidRPr="00C400D3">
        <w:rPr>
          <w:color w:val="0D0D0D" w:themeColor="text1" w:themeTint="F2"/>
        </w:rPr>
        <w:t>saj</w:t>
      </w:r>
      <w:proofErr w:type="spellEnd"/>
      <w:r w:rsidRPr="00C400D3">
        <w:rPr>
          <w:color w:val="0D0D0D" w:themeColor="text1" w:themeTint="F2"/>
        </w:rPr>
        <w:t xml:space="preserve">, </w:t>
      </w:r>
      <w:proofErr w:type="spellStart"/>
      <w:r w:rsidRPr="00C400D3">
        <w:rPr>
          <w:color w:val="0D0D0D" w:themeColor="text1" w:themeTint="F2"/>
        </w:rPr>
        <w:t>n</w:t>
      </w:r>
      <w:r w:rsidR="000F0577" w:rsidRPr="00C400D3">
        <w:rPr>
          <w:color w:val="0D0D0D" w:themeColor="text1" w:themeTint="F2"/>
        </w:rPr>
        <w:t>ë</w:t>
      </w:r>
      <w:proofErr w:type="spellEnd"/>
      <w:r w:rsidRPr="00C400D3">
        <w:rPr>
          <w:color w:val="0D0D0D" w:themeColor="text1" w:themeTint="F2"/>
        </w:rPr>
        <w:t xml:space="preserve"> </w:t>
      </w:r>
      <w:proofErr w:type="spellStart"/>
      <w:r w:rsidR="00A708BD" w:rsidRPr="00C400D3">
        <w:rPr>
          <w:color w:val="0D0D0D" w:themeColor="text1" w:themeTint="F2"/>
        </w:rPr>
        <w:t>reduk</w:t>
      </w:r>
      <w:r w:rsidR="00DD3A37" w:rsidRPr="00C400D3">
        <w:rPr>
          <w:color w:val="0D0D0D" w:themeColor="text1" w:themeTint="F2"/>
        </w:rPr>
        <w:t>timin</w:t>
      </w:r>
      <w:proofErr w:type="spellEnd"/>
      <w:r w:rsidR="00DD3A37" w:rsidRPr="00C400D3">
        <w:rPr>
          <w:color w:val="0D0D0D" w:themeColor="text1" w:themeTint="F2"/>
        </w:rPr>
        <w:t xml:space="preserve"> </w:t>
      </w:r>
      <w:r w:rsidRPr="00C400D3">
        <w:rPr>
          <w:color w:val="0D0D0D" w:themeColor="text1" w:themeTint="F2"/>
        </w:rPr>
        <w:t xml:space="preserve">e </w:t>
      </w:r>
      <w:proofErr w:type="spellStart"/>
      <w:r w:rsidR="002C4ED1" w:rsidRPr="00C400D3">
        <w:rPr>
          <w:color w:val="0D0D0D" w:themeColor="text1" w:themeTint="F2"/>
        </w:rPr>
        <w:t>aktivitetit</w:t>
      </w:r>
      <w:proofErr w:type="spellEnd"/>
      <w:r w:rsidR="002C4ED1" w:rsidRPr="00C400D3">
        <w:rPr>
          <w:color w:val="0D0D0D" w:themeColor="text1" w:themeTint="F2"/>
        </w:rPr>
        <w:t xml:space="preserve"> </w:t>
      </w:r>
      <w:proofErr w:type="spellStart"/>
      <w:r w:rsidR="002C4ED1" w:rsidRPr="00C400D3">
        <w:rPr>
          <w:color w:val="0D0D0D" w:themeColor="text1" w:themeTint="F2"/>
        </w:rPr>
        <w:t>kryesor</w:t>
      </w:r>
      <w:proofErr w:type="spellEnd"/>
      <w:r w:rsidR="002C4ED1" w:rsidRPr="00C400D3">
        <w:rPr>
          <w:color w:val="0D0D0D" w:themeColor="text1" w:themeTint="F2"/>
        </w:rPr>
        <w:t xml:space="preserve"> </w:t>
      </w:r>
      <w:r w:rsidR="009F611F" w:rsidRPr="00C400D3">
        <w:rPr>
          <w:color w:val="0D0D0D" w:themeColor="text1" w:themeTint="F2"/>
        </w:rPr>
        <w:t>(</w:t>
      </w:r>
      <w:proofErr w:type="spellStart"/>
      <w:r w:rsidR="00A708BD" w:rsidRPr="00C400D3">
        <w:rPr>
          <w:color w:val="0D0D0D" w:themeColor="text1" w:themeTint="F2"/>
        </w:rPr>
        <w:t>inspektime</w:t>
      </w:r>
      <w:proofErr w:type="spellEnd"/>
      <w:r w:rsidR="00A708BD" w:rsidRPr="00C400D3">
        <w:rPr>
          <w:color w:val="0D0D0D" w:themeColor="text1" w:themeTint="F2"/>
        </w:rPr>
        <w:t xml:space="preserve">, </w:t>
      </w:r>
      <w:proofErr w:type="spellStart"/>
      <w:r w:rsidR="00A708BD" w:rsidRPr="00C400D3">
        <w:rPr>
          <w:color w:val="0D0D0D" w:themeColor="text1" w:themeTint="F2"/>
        </w:rPr>
        <w:t>aktivitete</w:t>
      </w:r>
      <w:proofErr w:type="spellEnd"/>
      <w:r w:rsidR="00A708BD" w:rsidRPr="00C400D3">
        <w:rPr>
          <w:color w:val="0D0D0D" w:themeColor="text1" w:themeTint="F2"/>
        </w:rPr>
        <w:t xml:space="preserve"> </w:t>
      </w:r>
      <w:proofErr w:type="spellStart"/>
      <w:r w:rsidR="00A708BD" w:rsidRPr="00C400D3">
        <w:rPr>
          <w:color w:val="0D0D0D" w:themeColor="text1" w:themeTint="F2"/>
        </w:rPr>
        <w:t>t</w:t>
      </w:r>
      <w:r w:rsidRPr="00C400D3">
        <w:rPr>
          <w:color w:val="0D0D0D" w:themeColor="text1" w:themeTint="F2"/>
        </w:rPr>
        <w:t>ë</w:t>
      </w:r>
      <w:proofErr w:type="spellEnd"/>
      <w:r w:rsidR="00A708BD" w:rsidRPr="00C400D3">
        <w:rPr>
          <w:color w:val="0D0D0D" w:themeColor="text1" w:themeTint="F2"/>
        </w:rPr>
        <w:t xml:space="preserve"> </w:t>
      </w:r>
      <w:proofErr w:type="spellStart"/>
      <w:r w:rsidR="00A708BD" w:rsidRPr="00C400D3">
        <w:rPr>
          <w:color w:val="0D0D0D" w:themeColor="text1" w:themeTint="F2"/>
        </w:rPr>
        <w:t>tjera</w:t>
      </w:r>
      <w:proofErr w:type="spellEnd"/>
      <w:r w:rsidR="00DD3A37" w:rsidRPr="00C400D3">
        <w:rPr>
          <w:color w:val="0D0D0D" w:themeColor="text1" w:themeTint="F2"/>
        </w:rPr>
        <w:t xml:space="preserve"> </w:t>
      </w:r>
      <w:proofErr w:type="spellStart"/>
      <w:r w:rsidR="00DD3A37" w:rsidRPr="00C400D3">
        <w:rPr>
          <w:color w:val="0D0D0D" w:themeColor="text1" w:themeTint="F2"/>
        </w:rPr>
        <w:t>n</w:t>
      </w:r>
      <w:r w:rsidR="004D0754" w:rsidRPr="00C400D3">
        <w:rPr>
          <w:color w:val="0D0D0D" w:themeColor="text1" w:themeTint="F2"/>
        </w:rPr>
        <w:t>ë</w:t>
      </w:r>
      <w:proofErr w:type="spellEnd"/>
      <w:r w:rsidR="00DD3A37" w:rsidRPr="00C400D3">
        <w:rPr>
          <w:color w:val="0D0D0D" w:themeColor="text1" w:themeTint="F2"/>
        </w:rPr>
        <w:t xml:space="preserve"> </w:t>
      </w:r>
      <w:proofErr w:type="spellStart"/>
      <w:r w:rsidR="00DD3A37" w:rsidRPr="00C400D3">
        <w:rPr>
          <w:color w:val="0D0D0D" w:themeColor="text1" w:themeTint="F2"/>
        </w:rPr>
        <w:t>terren</w:t>
      </w:r>
      <w:proofErr w:type="spellEnd"/>
      <w:r w:rsidR="00A708BD" w:rsidRPr="00C400D3">
        <w:rPr>
          <w:color w:val="0D0D0D" w:themeColor="text1" w:themeTint="F2"/>
        </w:rPr>
        <w:t xml:space="preserve">), </w:t>
      </w:r>
      <w:proofErr w:type="spellStart"/>
      <w:r w:rsidRPr="00C400D3">
        <w:rPr>
          <w:color w:val="0D0D0D" w:themeColor="text1" w:themeTint="F2"/>
        </w:rPr>
        <w:t>p</w:t>
      </w:r>
      <w:r w:rsidR="000F0577" w:rsidRPr="00C400D3">
        <w:rPr>
          <w:color w:val="0D0D0D" w:themeColor="text1" w:themeTint="F2"/>
        </w:rPr>
        <w:t>ë</w:t>
      </w:r>
      <w:r w:rsidRPr="00C400D3">
        <w:rPr>
          <w:color w:val="0D0D0D" w:themeColor="text1" w:themeTint="F2"/>
        </w:rPr>
        <w:t>r</w:t>
      </w:r>
      <w:proofErr w:type="spellEnd"/>
      <w:r w:rsidRPr="00C400D3">
        <w:rPr>
          <w:color w:val="0D0D0D" w:themeColor="text1" w:themeTint="F2"/>
        </w:rPr>
        <w:t xml:space="preserve"> </w:t>
      </w:r>
      <w:proofErr w:type="spellStart"/>
      <w:r w:rsidRPr="00C400D3">
        <w:rPr>
          <w:color w:val="0D0D0D" w:themeColor="text1" w:themeTint="F2"/>
        </w:rPr>
        <w:t>t</w:t>
      </w:r>
      <w:r w:rsidR="000F0577" w:rsidRPr="00C400D3">
        <w:rPr>
          <w:color w:val="0D0D0D" w:themeColor="text1" w:themeTint="F2"/>
        </w:rPr>
        <w:t>ë</w:t>
      </w:r>
      <w:proofErr w:type="spellEnd"/>
      <w:r w:rsidRPr="00C400D3">
        <w:rPr>
          <w:color w:val="0D0D0D" w:themeColor="text1" w:themeTint="F2"/>
        </w:rPr>
        <w:t xml:space="preserve"> </w:t>
      </w:r>
      <w:proofErr w:type="spellStart"/>
      <w:r w:rsidRPr="00C400D3">
        <w:rPr>
          <w:color w:val="0D0D0D" w:themeColor="text1" w:themeTint="F2"/>
        </w:rPr>
        <w:t>cil</w:t>
      </w:r>
      <w:r w:rsidR="000F0577" w:rsidRPr="00C400D3">
        <w:rPr>
          <w:color w:val="0D0D0D" w:themeColor="text1" w:themeTint="F2"/>
        </w:rPr>
        <w:t>ë</w:t>
      </w:r>
      <w:r w:rsidRPr="00C400D3">
        <w:rPr>
          <w:color w:val="0D0D0D" w:themeColor="text1" w:themeTint="F2"/>
        </w:rPr>
        <w:t>n</w:t>
      </w:r>
      <w:proofErr w:type="spellEnd"/>
      <w:r w:rsidRPr="00C400D3">
        <w:rPr>
          <w:color w:val="0D0D0D" w:themeColor="text1" w:themeTint="F2"/>
        </w:rPr>
        <w:t xml:space="preserve"> u </w:t>
      </w:r>
      <w:proofErr w:type="spellStart"/>
      <w:r w:rsidR="00A708BD" w:rsidRPr="00C400D3">
        <w:rPr>
          <w:color w:val="0D0D0D" w:themeColor="text1" w:themeTint="F2"/>
        </w:rPr>
        <w:t>rishikua</w:t>
      </w:r>
      <w:proofErr w:type="spellEnd"/>
      <w:r w:rsidRPr="00C400D3">
        <w:rPr>
          <w:color w:val="0D0D0D" w:themeColor="text1" w:themeTint="F2"/>
        </w:rPr>
        <w:t xml:space="preserve"> </w:t>
      </w:r>
      <w:proofErr w:type="spellStart"/>
      <w:r w:rsidR="00A708BD" w:rsidRPr="00C400D3">
        <w:rPr>
          <w:color w:val="0D0D0D" w:themeColor="text1" w:themeTint="F2"/>
        </w:rPr>
        <w:t>edhe</w:t>
      </w:r>
      <w:proofErr w:type="spellEnd"/>
      <w:r w:rsidR="00A708BD" w:rsidRPr="00C400D3">
        <w:rPr>
          <w:color w:val="0D0D0D" w:themeColor="text1" w:themeTint="F2"/>
        </w:rPr>
        <w:t xml:space="preserve"> </w:t>
      </w:r>
      <w:proofErr w:type="spellStart"/>
      <w:r w:rsidR="00A708BD" w:rsidRPr="00C400D3">
        <w:rPr>
          <w:color w:val="0D0D0D" w:themeColor="text1" w:themeTint="F2"/>
        </w:rPr>
        <w:t>niveli</w:t>
      </w:r>
      <w:proofErr w:type="spellEnd"/>
      <w:r w:rsidR="00A708BD" w:rsidRPr="00C400D3">
        <w:rPr>
          <w:color w:val="0D0D0D" w:themeColor="text1" w:themeTint="F2"/>
        </w:rPr>
        <w:t xml:space="preserve"> </w:t>
      </w:r>
      <w:proofErr w:type="spellStart"/>
      <w:r w:rsidRPr="00C400D3">
        <w:rPr>
          <w:color w:val="0D0D0D" w:themeColor="text1" w:themeTint="F2"/>
        </w:rPr>
        <w:t>i</w:t>
      </w:r>
      <w:proofErr w:type="spellEnd"/>
      <w:r w:rsidR="00DD3A37" w:rsidRPr="00C400D3">
        <w:rPr>
          <w:color w:val="0D0D0D" w:themeColor="text1" w:themeTint="F2"/>
        </w:rPr>
        <w:t xml:space="preserve"> </w:t>
      </w:r>
      <w:proofErr w:type="spellStart"/>
      <w:r w:rsidR="00A708BD" w:rsidRPr="00C400D3">
        <w:rPr>
          <w:color w:val="0D0D0D" w:themeColor="text1" w:themeTint="F2"/>
        </w:rPr>
        <w:t>planifik</w:t>
      </w:r>
      <w:r w:rsidR="00AA1988">
        <w:rPr>
          <w:color w:val="0D0D0D" w:themeColor="text1" w:themeTint="F2"/>
        </w:rPr>
        <w:t>uar</w:t>
      </w:r>
      <w:proofErr w:type="spellEnd"/>
      <w:r w:rsidR="00A708BD" w:rsidRPr="00C400D3">
        <w:rPr>
          <w:color w:val="0D0D0D" w:themeColor="text1" w:themeTint="F2"/>
        </w:rPr>
        <w:t xml:space="preserve"> </w:t>
      </w:r>
      <w:proofErr w:type="spellStart"/>
      <w:r w:rsidRPr="00C400D3">
        <w:rPr>
          <w:color w:val="0D0D0D" w:themeColor="text1" w:themeTint="F2"/>
        </w:rPr>
        <w:t>i</w:t>
      </w:r>
      <w:proofErr w:type="spellEnd"/>
      <w:r w:rsidR="00A708BD" w:rsidRPr="00C400D3">
        <w:rPr>
          <w:color w:val="0D0D0D" w:themeColor="text1" w:themeTint="F2"/>
        </w:rPr>
        <w:t xml:space="preserve"> </w:t>
      </w:r>
      <w:proofErr w:type="spellStart"/>
      <w:r w:rsidR="00A708BD" w:rsidRPr="00C400D3">
        <w:rPr>
          <w:color w:val="0D0D0D" w:themeColor="text1" w:themeTint="F2"/>
        </w:rPr>
        <w:t>produktit</w:t>
      </w:r>
      <w:proofErr w:type="spellEnd"/>
      <w:r w:rsidR="000F0577" w:rsidRPr="00C400D3">
        <w:rPr>
          <w:color w:val="0D0D0D" w:themeColor="text1" w:themeTint="F2"/>
        </w:rPr>
        <w:t>/</w:t>
      </w:r>
      <w:proofErr w:type="spellStart"/>
      <w:r w:rsidR="000F0577" w:rsidRPr="00C400D3">
        <w:rPr>
          <w:color w:val="0D0D0D" w:themeColor="text1" w:themeTint="F2"/>
        </w:rPr>
        <w:t>nënprodukteve</w:t>
      </w:r>
      <w:proofErr w:type="spellEnd"/>
      <w:r w:rsidR="00A708BD" w:rsidRPr="00C400D3">
        <w:rPr>
          <w:color w:val="0D0D0D" w:themeColor="text1" w:themeTint="F2"/>
        </w:rPr>
        <w:t xml:space="preserve">, </w:t>
      </w:r>
      <w:proofErr w:type="spellStart"/>
      <w:r w:rsidRPr="00C400D3">
        <w:rPr>
          <w:color w:val="0D0D0D" w:themeColor="text1" w:themeTint="F2"/>
        </w:rPr>
        <w:t>n</w:t>
      </w:r>
      <w:r w:rsidR="004D0754" w:rsidRPr="00C400D3">
        <w:rPr>
          <w:color w:val="0D0D0D" w:themeColor="text1" w:themeTint="F2"/>
        </w:rPr>
        <w:t>ë</w:t>
      </w:r>
      <w:proofErr w:type="spellEnd"/>
      <w:r w:rsidRPr="00C400D3">
        <w:rPr>
          <w:color w:val="0D0D0D" w:themeColor="text1" w:themeTint="F2"/>
        </w:rPr>
        <w:t xml:space="preserve"> </w:t>
      </w:r>
      <w:proofErr w:type="spellStart"/>
      <w:r w:rsidRPr="00C400D3">
        <w:rPr>
          <w:color w:val="0D0D0D" w:themeColor="text1" w:themeTint="F2"/>
        </w:rPr>
        <w:t>rreth</w:t>
      </w:r>
      <w:proofErr w:type="spellEnd"/>
      <w:r w:rsidRPr="00C400D3">
        <w:rPr>
          <w:color w:val="0D0D0D" w:themeColor="text1" w:themeTint="F2"/>
        </w:rPr>
        <w:t xml:space="preserve"> </w:t>
      </w:r>
      <w:r w:rsidR="00A708BD" w:rsidRPr="00C400D3">
        <w:rPr>
          <w:color w:val="0D0D0D" w:themeColor="text1" w:themeTint="F2"/>
        </w:rPr>
        <w:t xml:space="preserve">1200 </w:t>
      </w:r>
      <w:proofErr w:type="spellStart"/>
      <w:r w:rsidR="00A708BD" w:rsidRPr="00C400D3">
        <w:rPr>
          <w:color w:val="0D0D0D" w:themeColor="text1" w:themeTint="F2"/>
        </w:rPr>
        <w:t>v</w:t>
      </w:r>
      <w:r w:rsidRPr="00C400D3">
        <w:rPr>
          <w:color w:val="0D0D0D" w:themeColor="text1" w:themeTint="F2"/>
        </w:rPr>
        <w:t>eprime</w:t>
      </w:r>
      <w:proofErr w:type="spellEnd"/>
      <w:r w:rsidRPr="00C400D3">
        <w:rPr>
          <w:color w:val="0D0D0D" w:themeColor="text1" w:themeTint="F2"/>
        </w:rPr>
        <w:t xml:space="preserve"> </w:t>
      </w:r>
      <w:proofErr w:type="spellStart"/>
      <w:r w:rsidRPr="00C400D3">
        <w:rPr>
          <w:color w:val="0D0D0D" w:themeColor="text1" w:themeTint="F2"/>
        </w:rPr>
        <w:t>për</w:t>
      </w:r>
      <w:proofErr w:type="spellEnd"/>
      <w:r w:rsidRPr="00C400D3">
        <w:rPr>
          <w:color w:val="0D0D0D" w:themeColor="text1" w:themeTint="F2"/>
        </w:rPr>
        <w:t xml:space="preserve"> </w:t>
      </w:r>
      <w:proofErr w:type="spellStart"/>
      <w:r w:rsidRPr="00C400D3">
        <w:rPr>
          <w:color w:val="0D0D0D" w:themeColor="text1" w:themeTint="F2"/>
        </w:rPr>
        <w:t>tu</w:t>
      </w:r>
      <w:proofErr w:type="spellEnd"/>
      <w:r w:rsidRPr="00C400D3">
        <w:rPr>
          <w:color w:val="0D0D0D" w:themeColor="text1" w:themeTint="F2"/>
        </w:rPr>
        <w:t xml:space="preserve"> </w:t>
      </w:r>
      <w:proofErr w:type="spellStart"/>
      <w:r w:rsidRPr="00C400D3">
        <w:rPr>
          <w:color w:val="0D0D0D" w:themeColor="text1" w:themeTint="F2"/>
        </w:rPr>
        <w:t>realizuar</w:t>
      </w:r>
      <w:proofErr w:type="spellEnd"/>
      <w:r w:rsidR="006C5ED0" w:rsidRPr="00C400D3">
        <w:rPr>
          <w:color w:val="0D0D0D" w:themeColor="text1" w:themeTint="F2"/>
        </w:rPr>
        <w:t>,</w:t>
      </w:r>
      <w:r w:rsidR="00DD3A37" w:rsidRPr="00C400D3">
        <w:rPr>
          <w:color w:val="0D0D0D" w:themeColor="text1" w:themeTint="F2"/>
        </w:rPr>
        <w:t xml:space="preserve"> </w:t>
      </w:r>
      <w:r w:rsidR="002C4ED1" w:rsidRPr="00C400D3">
        <w:rPr>
          <w:color w:val="0D0D0D" w:themeColor="text1" w:themeTint="F2"/>
        </w:rPr>
        <w:t xml:space="preserve">me </w:t>
      </w:r>
      <w:proofErr w:type="spellStart"/>
      <w:r w:rsidR="002C4ED1" w:rsidRPr="00C400D3">
        <w:rPr>
          <w:color w:val="0D0D0D" w:themeColor="text1" w:themeTint="F2"/>
        </w:rPr>
        <w:t>tendencë</w:t>
      </w:r>
      <w:proofErr w:type="spellEnd"/>
      <w:r w:rsidR="002C4ED1" w:rsidRPr="00C400D3">
        <w:rPr>
          <w:color w:val="0D0D0D" w:themeColor="text1" w:themeTint="F2"/>
        </w:rPr>
        <w:t xml:space="preserve"> </w:t>
      </w:r>
      <w:proofErr w:type="spellStart"/>
      <w:r w:rsidR="002C4ED1" w:rsidRPr="00C400D3">
        <w:rPr>
          <w:color w:val="0D0D0D" w:themeColor="text1" w:themeTint="F2"/>
        </w:rPr>
        <w:t>në</w:t>
      </w:r>
      <w:proofErr w:type="spellEnd"/>
      <w:r w:rsidR="002C4ED1" w:rsidRPr="00C400D3">
        <w:rPr>
          <w:color w:val="0D0D0D" w:themeColor="text1" w:themeTint="F2"/>
        </w:rPr>
        <w:t xml:space="preserve"> </w:t>
      </w:r>
      <w:proofErr w:type="spellStart"/>
      <w:r w:rsidR="002C4ED1" w:rsidRPr="00C400D3">
        <w:rPr>
          <w:color w:val="0D0D0D" w:themeColor="text1" w:themeTint="F2"/>
        </w:rPr>
        <w:t>rritje</w:t>
      </w:r>
      <w:proofErr w:type="spellEnd"/>
      <w:r w:rsidR="002C4ED1" w:rsidRPr="00C400D3">
        <w:rPr>
          <w:color w:val="0D0D0D" w:themeColor="text1" w:themeTint="F2"/>
        </w:rPr>
        <w:t>.</w:t>
      </w:r>
    </w:p>
    <w:p w:rsidR="00F11F1F" w:rsidRPr="006C5ED0" w:rsidRDefault="00F11F1F" w:rsidP="000F7C1E">
      <w:pPr>
        <w:pStyle w:val="NormalWeb"/>
        <w:shd w:val="clear" w:color="auto" w:fill="FFFFFF"/>
        <w:spacing w:before="0" w:beforeAutospacing="0" w:after="120" w:afterAutospacing="0" w:line="276" w:lineRule="auto"/>
        <w:jc w:val="both"/>
        <w:rPr>
          <w:b/>
          <w:color w:val="0D0D0D" w:themeColor="text1" w:themeTint="F2"/>
          <w:sz w:val="44"/>
          <w:szCs w:val="44"/>
          <w:lang w:val="sq-AL"/>
        </w:rPr>
      </w:pPr>
      <w:r w:rsidRPr="00C400D3">
        <w:rPr>
          <w:color w:val="0D0D0D" w:themeColor="text1" w:themeTint="F2"/>
        </w:rPr>
        <w:t xml:space="preserve">Duke </w:t>
      </w:r>
      <w:proofErr w:type="spellStart"/>
      <w:r w:rsidRPr="00C400D3">
        <w:rPr>
          <w:color w:val="0D0D0D" w:themeColor="text1" w:themeTint="F2"/>
        </w:rPr>
        <w:t>vlerësuar</w:t>
      </w:r>
      <w:proofErr w:type="spellEnd"/>
      <w:r w:rsidRPr="00C400D3">
        <w:rPr>
          <w:color w:val="0D0D0D" w:themeColor="text1" w:themeTint="F2"/>
        </w:rPr>
        <w:t xml:space="preserve"> </w:t>
      </w:r>
      <w:proofErr w:type="spellStart"/>
      <w:r w:rsidRPr="00C400D3">
        <w:rPr>
          <w:color w:val="0D0D0D" w:themeColor="text1" w:themeTint="F2"/>
        </w:rPr>
        <w:t>konstatimet</w:t>
      </w:r>
      <w:proofErr w:type="spellEnd"/>
      <w:r w:rsidRPr="00C400D3">
        <w:rPr>
          <w:color w:val="0D0D0D" w:themeColor="text1" w:themeTint="F2"/>
        </w:rPr>
        <w:t xml:space="preserve"> </w:t>
      </w:r>
      <w:proofErr w:type="spellStart"/>
      <w:r w:rsidRPr="00C400D3">
        <w:rPr>
          <w:color w:val="0D0D0D" w:themeColor="text1" w:themeTint="F2"/>
        </w:rPr>
        <w:t>dhe</w:t>
      </w:r>
      <w:proofErr w:type="spellEnd"/>
      <w:r w:rsidRPr="00C400D3">
        <w:rPr>
          <w:color w:val="0D0D0D" w:themeColor="text1" w:themeTint="F2"/>
        </w:rPr>
        <w:t xml:space="preserve"> </w:t>
      </w:r>
      <w:proofErr w:type="spellStart"/>
      <w:r w:rsidRPr="00C400D3">
        <w:rPr>
          <w:color w:val="0D0D0D" w:themeColor="text1" w:themeTint="F2"/>
        </w:rPr>
        <w:t>sugjerimet</w:t>
      </w:r>
      <w:proofErr w:type="spellEnd"/>
      <w:r w:rsidRPr="00C400D3">
        <w:rPr>
          <w:color w:val="0D0D0D" w:themeColor="text1" w:themeTint="F2"/>
        </w:rPr>
        <w:t xml:space="preserve"> e </w:t>
      </w:r>
      <w:proofErr w:type="spellStart"/>
      <w:r w:rsidRPr="00C400D3">
        <w:rPr>
          <w:color w:val="0D0D0D" w:themeColor="text1" w:themeTint="F2"/>
        </w:rPr>
        <w:t>Ministrisë</w:t>
      </w:r>
      <w:proofErr w:type="spellEnd"/>
      <w:r w:rsidRPr="00C400D3">
        <w:rPr>
          <w:color w:val="0D0D0D" w:themeColor="text1" w:themeTint="F2"/>
        </w:rPr>
        <w:t xml:space="preserve"> </w:t>
      </w:r>
      <w:proofErr w:type="spellStart"/>
      <w:r w:rsidRPr="00C400D3">
        <w:rPr>
          <w:color w:val="0D0D0D" w:themeColor="text1" w:themeTint="F2"/>
        </w:rPr>
        <w:t>së</w:t>
      </w:r>
      <w:proofErr w:type="spellEnd"/>
      <w:r w:rsidRPr="00C400D3">
        <w:rPr>
          <w:color w:val="0D0D0D" w:themeColor="text1" w:themeTint="F2"/>
        </w:rPr>
        <w:t xml:space="preserve"> </w:t>
      </w:r>
      <w:proofErr w:type="spellStart"/>
      <w:r w:rsidRPr="00C400D3">
        <w:rPr>
          <w:color w:val="0D0D0D" w:themeColor="text1" w:themeTint="F2"/>
        </w:rPr>
        <w:t>Financave</w:t>
      </w:r>
      <w:proofErr w:type="spellEnd"/>
      <w:r w:rsidRPr="00C400D3">
        <w:rPr>
          <w:color w:val="0D0D0D" w:themeColor="text1" w:themeTint="F2"/>
        </w:rPr>
        <w:t xml:space="preserve"> </w:t>
      </w:r>
      <w:proofErr w:type="spellStart"/>
      <w:r w:rsidRPr="00C400D3">
        <w:rPr>
          <w:color w:val="0D0D0D" w:themeColor="text1" w:themeTint="F2"/>
        </w:rPr>
        <w:t>dhe</w:t>
      </w:r>
      <w:proofErr w:type="spellEnd"/>
      <w:r w:rsidRPr="00C400D3">
        <w:rPr>
          <w:color w:val="0D0D0D" w:themeColor="text1" w:themeTint="F2"/>
        </w:rPr>
        <w:t xml:space="preserve"> </w:t>
      </w:r>
      <w:proofErr w:type="spellStart"/>
      <w:r w:rsidRPr="00C400D3">
        <w:rPr>
          <w:color w:val="0D0D0D" w:themeColor="text1" w:themeTint="F2"/>
        </w:rPr>
        <w:t>Ekonomis</w:t>
      </w:r>
      <w:r w:rsidR="004D0754" w:rsidRPr="00C400D3">
        <w:rPr>
          <w:color w:val="0D0D0D" w:themeColor="text1" w:themeTint="F2"/>
        </w:rPr>
        <w:t>ë</w:t>
      </w:r>
      <w:proofErr w:type="spellEnd"/>
      <w:r w:rsidRPr="00C400D3">
        <w:rPr>
          <w:color w:val="0D0D0D" w:themeColor="text1" w:themeTint="F2"/>
        </w:rPr>
        <w:t xml:space="preserve"> </w:t>
      </w:r>
      <w:proofErr w:type="spellStart"/>
      <w:r w:rsidRPr="00C400D3">
        <w:rPr>
          <w:color w:val="0D0D0D" w:themeColor="text1" w:themeTint="F2"/>
        </w:rPr>
        <w:t>përsa</w:t>
      </w:r>
      <w:proofErr w:type="spellEnd"/>
      <w:r w:rsidRPr="00C400D3">
        <w:rPr>
          <w:color w:val="0D0D0D" w:themeColor="text1" w:themeTint="F2"/>
        </w:rPr>
        <w:t xml:space="preserve"> </w:t>
      </w:r>
      <w:proofErr w:type="spellStart"/>
      <w:r w:rsidRPr="00C400D3">
        <w:rPr>
          <w:color w:val="0D0D0D" w:themeColor="text1" w:themeTint="F2"/>
        </w:rPr>
        <w:t>i</w:t>
      </w:r>
      <w:proofErr w:type="spellEnd"/>
      <w:r w:rsidRPr="00C400D3">
        <w:rPr>
          <w:color w:val="0D0D0D" w:themeColor="text1" w:themeTint="F2"/>
        </w:rPr>
        <w:t xml:space="preserve"> </w:t>
      </w:r>
      <w:proofErr w:type="spellStart"/>
      <w:r w:rsidRPr="00C400D3">
        <w:rPr>
          <w:color w:val="0D0D0D" w:themeColor="text1" w:themeTint="F2"/>
        </w:rPr>
        <w:t>përket</w:t>
      </w:r>
      <w:proofErr w:type="spellEnd"/>
      <w:r w:rsidRPr="00C400D3">
        <w:rPr>
          <w:color w:val="0D0D0D" w:themeColor="text1" w:themeTint="F2"/>
        </w:rPr>
        <w:t xml:space="preserve"> </w:t>
      </w:r>
      <w:proofErr w:type="spellStart"/>
      <w:r w:rsidR="00AA1988">
        <w:rPr>
          <w:color w:val="0D0D0D" w:themeColor="text1" w:themeTint="F2"/>
        </w:rPr>
        <w:t>Përgatitjes</w:t>
      </w:r>
      <w:proofErr w:type="spellEnd"/>
      <w:r w:rsidR="00AA1988">
        <w:rPr>
          <w:color w:val="0D0D0D" w:themeColor="text1" w:themeTint="F2"/>
        </w:rPr>
        <w:t xml:space="preserve"> </w:t>
      </w:r>
      <w:proofErr w:type="spellStart"/>
      <w:r w:rsidR="00AA1988">
        <w:rPr>
          <w:color w:val="0D0D0D" w:themeColor="text1" w:themeTint="F2"/>
        </w:rPr>
        <w:t>së</w:t>
      </w:r>
      <w:proofErr w:type="spellEnd"/>
      <w:r w:rsidR="00AA1988">
        <w:rPr>
          <w:color w:val="0D0D0D" w:themeColor="text1" w:themeTint="F2"/>
        </w:rPr>
        <w:t xml:space="preserve"> PBA–</w:t>
      </w:r>
      <w:proofErr w:type="spellStart"/>
      <w:r w:rsidR="00AA1988">
        <w:rPr>
          <w:color w:val="0D0D0D" w:themeColor="text1" w:themeTint="F2"/>
        </w:rPr>
        <w:t>së</w:t>
      </w:r>
      <w:proofErr w:type="spellEnd"/>
      <w:r w:rsidR="00AA1988">
        <w:rPr>
          <w:color w:val="0D0D0D" w:themeColor="text1" w:themeTint="F2"/>
        </w:rPr>
        <w:t xml:space="preserve"> 2021-2023</w:t>
      </w:r>
      <w:r w:rsidRPr="00C400D3">
        <w:rPr>
          <w:color w:val="0D0D0D" w:themeColor="text1" w:themeTint="F2"/>
        </w:rPr>
        <w:t xml:space="preserve">, </w:t>
      </w:r>
      <w:proofErr w:type="spellStart"/>
      <w:r w:rsidRPr="00C400D3">
        <w:rPr>
          <w:color w:val="0D0D0D" w:themeColor="text1" w:themeTint="F2"/>
        </w:rPr>
        <w:t>vlerësojmë</w:t>
      </w:r>
      <w:proofErr w:type="spellEnd"/>
      <w:r w:rsidRPr="00C400D3">
        <w:rPr>
          <w:color w:val="0D0D0D" w:themeColor="text1" w:themeTint="F2"/>
        </w:rPr>
        <w:t xml:space="preserve"> se </w:t>
      </w:r>
      <w:proofErr w:type="spellStart"/>
      <w:r w:rsidRPr="00C400D3">
        <w:rPr>
          <w:color w:val="0D0D0D" w:themeColor="text1" w:themeTint="F2"/>
        </w:rPr>
        <w:t>Ekipi</w:t>
      </w:r>
      <w:proofErr w:type="spellEnd"/>
      <w:r w:rsidRPr="00C400D3">
        <w:rPr>
          <w:color w:val="0D0D0D" w:themeColor="text1" w:themeTint="F2"/>
        </w:rPr>
        <w:t xml:space="preserve"> </w:t>
      </w:r>
      <w:proofErr w:type="spellStart"/>
      <w:r w:rsidRPr="00C400D3">
        <w:rPr>
          <w:color w:val="0D0D0D" w:themeColor="text1" w:themeTint="F2"/>
        </w:rPr>
        <w:t>i</w:t>
      </w:r>
      <w:proofErr w:type="spellEnd"/>
      <w:r w:rsidRPr="00C400D3">
        <w:rPr>
          <w:color w:val="0D0D0D" w:themeColor="text1" w:themeTint="F2"/>
        </w:rPr>
        <w:t xml:space="preserve"> </w:t>
      </w:r>
      <w:proofErr w:type="spellStart"/>
      <w:r w:rsidRPr="00C400D3">
        <w:rPr>
          <w:color w:val="0D0D0D" w:themeColor="text1" w:themeTint="F2"/>
        </w:rPr>
        <w:t>Menaxhimit</w:t>
      </w:r>
      <w:proofErr w:type="spellEnd"/>
      <w:r w:rsidRPr="00C400D3">
        <w:rPr>
          <w:color w:val="0D0D0D" w:themeColor="text1" w:themeTint="F2"/>
        </w:rPr>
        <w:t xml:space="preserve"> </w:t>
      </w:r>
      <w:proofErr w:type="spellStart"/>
      <w:r w:rsidRPr="00C400D3">
        <w:rPr>
          <w:color w:val="0D0D0D" w:themeColor="text1" w:themeTint="F2"/>
        </w:rPr>
        <w:t>të</w:t>
      </w:r>
      <w:proofErr w:type="spellEnd"/>
      <w:r w:rsidRPr="00C400D3">
        <w:rPr>
          <w:color w:val="0D0D0D" w:themeColor="text1" w:themeTint="F2"/>
        </w:rPr>
        <w:t xml:space="preserve"> </w:t>
      </w:r>
      <w:proofErr w:type="spellStart"/>
      <w:r w:rsidRPr="00C400D3">
        <w:rPr>
          <w:color w:val="0D0D0D" w:themeColor="text1" w:themeTint="F2"/>
        </w:rPr>
        <w:t>Programit</w:t>
      </w:r>
      <w:proofErr w:type="spellEnd"/>
      <w:r w:rsidRPr="00C400D3">
        <w:rPr>
          <w:color w:val="0D0D0D" w:themeColor="text1" w:themeTint="F2"/>
        </w:rPr>
        <w:t xml:space="preserve"> </w:t>
      </w:r>
      <w:proofErr w:type="spellStart"/>
      <w:r w:rsidRPr="00C400D3">
        <w:rPr>
          <w:color w:val="0D0D0D" w:themeColor="text1" w:themeTint="F2"/>
        </w:rPr>
        <w:t>gjatë</w:t>
      </w:r>
      <w:proofErr w:type="spellEnd"/>
      <w:r w:rsidRPr="00C400D3">
        <w:rPr>
          <w:color w:val="0D0D0D" w:themeColor="text1" w:themeTint="F2"/>
        </w:rPr>
        <w:t xml:space="preserve"> </w:t>
      </w:r>
      <w:proofErr w:type="spellStart"/>
      <w:r w:rsidRPr="00C400D3">
        <w:rPr>
          <w:color w:val="0D0D0D" w:themeColor="text1" w:themeTint="F2"/>
        </w:rPr>
        <w:t>vitit</w:t>
      </w:r>
      <w:proofErr w:type="spellEnd"/>
      <w:r w:rsidRPr="00C400D3">
        <w:rPr>
          <w:color w:val="0D0D0D" w:themeColor="text1" w:themeTint="F2"/>
        </w:rPr>
        <w:t xml:space="preserve"> 2020, </w:t>
      </w:r>
      <w:proofErr w:type="spellStart"/>
      <w:r w:rsidRPr="00C400D3">
        <w:rPr>
          <w:color w:val="0D0D0D" w:themeColor="text1" w:themeTint="F2"/>
        </w:rPr>
        <w:t>ka</w:t>
      </w:r>
      <w:proofErr w:type="spellEnd"/>
      <w:r w:rsidRPr="00C400D3">
        <w:rPr>
          <w:color w:val="0D0D0D" w:themeColor="text1" w:themeTint="F2"/>
        </w:rPr>
        <w:t xml:space="preserve"> </w:t>
      </w:r>
      <w:proofErr w:type="spellStart"/>
      <w:r w:rsidRPr="00C400D3">
        <w:rPr>
          <w:color w:val="0D0D0D" w:themeColor="text1" w:themeTint="F2"/>
        </w:rPr>
        <w:t>bërë</w:t>
      </w:r>
      <w:proofErr w:type="spellEnd"/>
      <w:r w:rsidRPr="00C400D3">
        <w:rPr>
          <w:color w:val="0D0D0D" w:themeColor="text1" w:themeTint="F2"/>
        </w:rPr>
        <w:t xml:space="preserve"> </w:t>
      </w:r>
      <w:proofErr w:type="spellStart"/>
      <w:r w:rsidRPr="00C400D3">
        <w:rPr>
          <w:color w:val="0D0D0D" w:themeColor="text1" w:themeTint="F2"/>
        </w:rPr>
        <w:t>një</w:t>
      </w:r>
      <w:proofErr w:type="spellEnd"/>
      <w:r w:rsidRPr="00C400D3">
        <w:rPr>
          <w:color w:val="0D0D0D" w:themeColor="text1" w:themeTint="F2"/>
        </w:rPr>
        <w:t xml:space="preserve"> </w:t>
      </w:r>
      <w:proofErr w:type="spellStart"/>
      <w:r w:rsidRPr="00C400D3">
        <w:rPr>
          <w:color w:val="0D0D0D" w:themeColor="text1" w:themeTint="F2"/>
        </w:rPr>
        <w:t>punë</w:t>
      </w:r>
      <w:proofErr w:type="spellEnd"/>
      <w:r w:rsidRPr="00C400D3">
        <w:rPr>
          <w:color w:val="0D0D0D" w:themeColor="text1" w:themeTint="F2"/>
        </w:rPr>
        <w:t xml:space="preserve"> </w:t>
      </w:r>
      <w:proofErr w:type="spellStart"/>
      <w:r w:rsidRPr="00C400D3">
        <w:rPr>
          <w:color w:val="0D0D0D" w:themeColor="text1" w:themeTint="F2"/>
        </w:rPr>
        <w:t>t</w:t>
      </w:r>
      <w:r w:rsidR="004D0754" w:rsidRPr="00C400D3">
        <w:rPr>
          <w:color w:val="0D0D0D" w:themeColor="text1" w:themeTint="F2"/>
        </w:rPr>
        <w:t>ë</w:t>
      </w:r>
      <w:proofErr w:type="spellEnd"/>
      <w:r w:rsidRPr="00C400D3">
        <w:rPr>
          <w:color w:val="0D0D0D" w:themeColor="text1" w:themeTint="F2"/>
        </w:rPr>
        <w:t xml:space="preserve"> </w:t>
      </w:r>
      <w:proofErr w:type="spellStart"/>
      <w:r w:rsidRPr="00C400D3">
        <w:rPr>
          <w:color w:val="0D0D0D" w:themeColor="text1" w:themeTint="F2"/>
        </w:rPr>
        <w:t>mirë</w:t>
      </w:r>
      <w:proofErr w:type="spellEnd"/>
      <w:r w:rsidRPr="00C400D3">
        <w:rPr>
          <w:color w:val="0D0D0D" w:themeColor="text1" w:themeTint="F2"/>
        </w:rPr>
        <w:t xml:space="preserve"> </w:t>
      </w:r>
      <w:proofErr w:type="spellStart"/>
      <w:r w:rsidRPr="00C400D3">
        <w:rPr>
          <w:color w:val="0D0D0D" w:themeColor="text1" w:themeTint="F2"/>
        </w:rPr>
        <w:t>dhe</w:t>
      </w:r>
      <w:proofErr w:type="spellEnd"/>
      <w:r w:rsidRPr="00C400D3">
        <w:rPr>
          <w:color w:val="0D0D0D" w:themeColor="text1" w:themeTint="F2"/>
        </w:rPr>
        <w:t xml:space="preserve"> </w:t>
      </w:r>
      <w:proofErr w:type="spellStart"/>
      <w:r w:rsidRPr="00C400D3">
        <w:rPr>
          <w:color w:val="0D0D0D" w:themeColor="text1" w:themeTint="F2"/>
        </w:rPr>
        <w:t>të</w:t>
      </w:r>
      <w:proofErr w:type="spellEnd"/>
      <w:r w:rsidRPr="00C400D3">
        <w:rPr>
          <w:color w:val="0D0D0D" w:themeColor="text1" w:themeTint="F2"/>
        </w:rPr>
        <w:t xml:space="preserve"> </w:t>
      </w:r>
      <w:proofErr w:type="spellStart"/>
      <w:r w:rsidRPr="00C400D3">
        <w:rPr>
          <w:color w:val="0D0D0D" w:themeColor="text1" w:themeTint="F2"/>
        </w:rPr>
        <w:t>përgjegjshme</w:t>
      </w:r>
      <w:proofErr w:type="spellEnd"/>
      <w:r w:rsidRPr="00C400D3">
        <w:rPr>
          <w:color w:val="0D0D0D" w:themeColor="text1" w:themeTint="F2"/>
        </w:rPr>
        <w:t xml:space="preserve"> </w:t>
      </w:r>
      <w:proofErr w:type="spellStart"/>
      <w:r w:rsidRPr="00C400D3">
        <w:rPr>
          <w:color w:val="0D0D0D" w:themeColor="text1" w:themeTint="F2"/>
        </w:rPr>
        <w:t>në</w:t>
      </w:r>
      <w:proofErr w:type="spellEnd"/>
      <w:r w:rsidRPr="00C400D3">
        <w:rPr>
          <w:color w:val="0D0D0D" w:themeColor="text1" w:themeTint="F2"/>
        </w:rPr>
        <w:t xml:space="preserve"> </w:t>
      </w:r>
      <w:proofErr w:type="spellStart"/>
      <w:r w:rsidRPr="00C400D3">
        <w:rPr>
          <w:color w:val="0D0D0D" w:themeColor="text1" w:themeTint="F2"/>
        </w:rPr>
        <w:t>drejtim</w:t>
      </w:r>
      <w:proofErr w:type="spellEnd"/>
      <w:r w:rsidRPr="00C400D3">
        <w:rPr>
          <w:color w:val="0D0D0D" w:themeColor="text1" w:themeTint="F2"/>
        </w:rPr>
        <w:t xml:space="preserve"> </w:t>
      </w:r>
      <w:proofErr w:type="spellStart"/>
      <w:r w:rsidRPr="00C400D3">
        <w:rPr>
          <w:color w:val="0D0D0D" w:themeColor="text1" w:themeTint="F2"/>
        </w:rPr>
        <w:t>të</w:t>
      </w:r>
      <w:proofErr w:type="spellEnd"/>
      <w:r w:rsidRPr="00C400D3">
        <w:rPr>
          <w:color w:val="0D0D0D" w:themeColor="text1" w:themeTint="F2"/>
        </w:rPr>
        <w:t xml:space="preserve"> </w:t>
      </w:r>
      <w:proofErr w:type="spellStart"/>
      <w:r w:rsidRPr="00C400D3">
        <w:rPr>
          <w:color w:val="0D0D0D" w:themeColor="text1" w:themeTint="F2"/>
        </w:rPr>
        <w:t>respektimit</w:t>
      </w:r>
      <w:proofErr w:type="spellEnd"/>
      <w:r w:rsidRPr="00C400D3">
        <w:rPr>
          <w:color w:val="0D0D0D" w:themeColor="text1" w:themeTint="F2"/>
        </w:rPr>
        <w:t xml:space="preserve"> </w:t>
      </w:r>
      <w:proofErr w:type="spellStart"/>
      <w:r w:rsidRPr="00C400D3">
        <w:rPr>
          <w:color w:val="0D0D0D" w:themeColor="text1" w:themeTint="F2"/>
        </w:rPr>
        <w:t>të</w:t>
      </w:r>
      <w:proofErr w:type="spellEnd"/>
      <w:r w:rsidRPr="00C400D3">
        <w:rPr>
          <w:color w:val="0D0D0D" w:themeColor="text1" w:themeTint="F2"/>
        </w:rPr>
        <w:t xml:space="preserve"> </w:t>
      </w:r>
      <w:proofErr w:type="spellStart"/>
      <w:r w:rsidRPr="00C400D3">
        <w:rPr>
          <w:color w:val="0D0D0D" w:themeColor="text1" w:themeTint="F2"/>
        </w:rPr>
        <w:t>përcaktimeve</w:t>
      </w:r>
      <w:proofErr w:type="spellEnd"/>
      <w:r w:rsidRPr="00C400D3">
        <w:rPr>
          <w:color w:val="0D0D0D" w:themeColor="text1" w:themeTint="F2"/>
        </w:rPr>
        <w:t xml:space="preserve"> </w:t>
      </w:r>
      <w:proofErr w:type="spellStart"/>
      <w:r w:rsidRPr="00C400D3">
        <w:rPr>
          <w:color w:val="0D0D0D" w:themeColor="text1" w:themeTint="F2"/>
        </w:rPr>
        <w:t>të</w:t>
      </w:r>
      <w:proofErr w:type="spellEnd"/>
      <w:r w:rsidRPr="00C400D3">
        <w:rPr>
          <w:color w:val="0D0D0D" w:themeColor="text1" w:themeTint="F2"/>
        </w:rPr>
        <w:t xml:space="preserve"> </w:t>
      </w:r>
      <w:proofErr w:type="spellStart"/>
      <w:r w:rsidRPr="00C400D3">
        <w:rPr>
          <w:color w:val="0D0D0D" w:themeColor="text1" w:themeTint="F2"/>
        </w:rPr>
        <w:t>udhëzimit</w:t>
      </w:r>
      <w:proofErr w:type="spellEnd"/>
      <w:r w:rsidRPr="00C400D3">
        <w:rPr>
          <w:color w:val="0D0D0D" w:themeColor="text1" w:themeTint="F2"/>
        </w:rPr>
        <w:t xml:space="preserve"> </w:t>
      </w:r>
      <w:proofErr w:type="spellStart"/>
      <w:r w:rsidRPr="00C400D3">
        <w:rPr>
          <w:color w:val="0D0D0D" w:themeColor="text1" w:themeTint="F2"/>
        </w:rPr>
        <w:t>të</w:t>
      </w:r>
      <w:proofErr w:type="spellEnd"/>
      <w:r w:rsidRPr="00C400D3">
        <w:rPr>
          <w:color w:val="0D0D0D" w:themeColor="text1" w:themeTint="F2"/>
        </w:rPr>
        <w:t xml:space="preserve"> </w:t>
      </w:r>
      <w:proofErr w:type="spellStart"/>
      <w:r w:rsidRPr="00C400D3">
        <w:rPr>
          <w:color w:val="0D0D0D" w:themeColor="text1" w:themeTint="F2"/>
        </w:rPr>
        <w:t>përgatitjes</w:t>
      </w:r>
      <w:proofErr w:type="spellEnd"/>
      <w:r w:rsidRPr="00C400D3">
        <w:rPr>
          <w:color w:val="0D0D0D" w:themeColor="text1" w:themeTint="F2"/>
        </w:rPr>
        <w:t xml:space="preserve"> </w:t>
      </w:r>
      <w:proofErr w:type="spellStart"/>
      <w:r w:rsidRPr="00C400D3">
        <w:rPr>
          <w:color w:val="0D0D0D" w:themeColor="text1" w:themeTint="F2"/>
        </w:rPr>
        <w:t>së</w:t>
      </w:r>
      <w:proofErr w:type="spellEnd"/>
      <w:r w:rsidRPr="00C400D3">
        <w:rPr>
          <w:color w:val="0D0D0D" w:themeColor="text1" w:themeTint="F2"/>
        </w:rPr>
        <w:t xml:space="preserve"> </w:t>
      </w:r>
      <w:proofErr w:type="spellStart"/>
      <w:r w:rsidRPr="00C400D3">
        <w:rPr>
          <w:color w:val="0D0D0D" w:themeColor="text1" w:themeTint="F2"/>
        </w:rPr>
        <w:t>programit</w:t>
      </w:r>
      <w:proofErr w:type="spellEnd"/>
      <w:r w:rsidRPr="00C400D3">
        <w:rPr>
          <w:color w:val="0D0D0D" w:themeColor="text1" w:themeTint="F2"/>
        </w:rPr>
        <w:t xml:space="preserve"> </w:t>
      </w:r>
      <w:proofErr w:type="spellStart"/>
      <w:r w:rsidRPr="00C400D3">
        <w:rPr>
          <w:color w:val="0D0D0D" w:themeColor="text1" w:themeTint="F2"/>
        </w:rPr>
        <w:t>buxhetor</w:t>
      </w:r>
      <w:proofErr w:type="spellEnd"/>
      <w:r w:rsidRPr="00C400D3">
        <w:rPr>
          <w:color w:val="0D0D0D" w:themeColor="text1" w:themeTint="F2"/>
        </w:rPr>
        <w:t xml:space="preserve"> </w:t>
      </w:r>
      <w:proofErr w:type="spellStart"/>
      <w:r w:rsidRPr="00C400D3">
        <w:rPr>
          <w:color w:val="0D0D0D" w:themeColor="text1" w:themeTint="F2"/>
        </w:rPr>
        <w:t>afatmesëm</w:t>
      </w:r>
      <w:proofErr w:type="spellEnd"/>
      <w:r w:rsidR="004D0754" w:rsidRPr="00C400D3">
        <w:rPr>
          <w:color w:val="0D0D0D" w:themeColor="text1" w:themeTint="F2"/>
        </w:rPr>
        <w:t>,</w:t>
      </w:r>
      <w:r w:rsidRPr="00C400D3">
        <w:rPr>
          <w:color w:val="0D0D0D" w:themeColor="text1" w:themeTint="F2"/>
        </w:rPr>
        <w:t xml:space="preserve"> </w:t>
      </w:r>
      <w:proofErr w:type="spellStart"/>
      <w:r w:rsidRPr="00C400D3">
        <w:rPr>
          <w:color w:val="0D0D0D" w:themeColor="text1" w:themeTint="F2"/>
        </w:rPr>
        <w:t>përshtatur</w:t>
      </w:r>
      <w:proofErr w:type="spellEnd"/>
      <w:r w:rsidRPr="00C400D3">
        <w:rPr>
          <w:color w:val="0D0D0D" w:themeColor="text1" w:themeTint="F2"/>
        </w:rPr>
        <w:t xml:space="preserve"> </w:t>
      </w:r>
      <w:proofErr w:type="spellStart"/>
      <w:r w:rsidRPr="00C400D3">
        <w:rPr>
          <w:color w:val="0D0D0D" w:themeColor="text1" w:themeTint="F2"/>
        </w:rPr>
        <w:t>specifikisht</w:t>
      </w:r>
      <w:proofErr w:type="spellEnd"/>
      <w:r w:rsidRPr="00C400D3">
        <w:rPr>
          <w:color w:val="0D0D0D" w:themeColor="text1" w:themeTint="F2"/>
        </w:rPr>
        <w:t xml:space="preserve"> </w:t>
      </w:r>
      <w:proofErr w:type="spellStart"/>
      <w:r w:rsidRPr="00C400D3">
        <w:rPr>
          <w:color w:val="0D0D0D" w:themeColor="text1" w:themeTint="F2"/>
        </w:rPr>
        <w:t>për</w:t>
      </w:r>
      <w:proofErr w:type="spellEnd"/>
      <w:r w:rsidRPr="00C400D3">
        <w:rPr>
          <w:color w:val="0D0D0D" w:themeColor="text1" w:themeTint="F2"/>
        </w:rPr>
        <w:t xml:space="preserve"> </w:t>
      </w:r>
      <w:proofErr w:type="spellStart"/>
      <w:r w:rsidRPr="00C400D3">
        <w:rPr>
          <w:color w:val="0D0D0D" w:themeColor="text1" w:themeTint="F2"/>
        </w:rPr>
        <w:t>natyrën</w:t>
      </w:r>
      <w:proofErr w:type="spellEnd"/>
      <w:r w:rsidRPr="00C400D3">
        <w:rPr>
          <w:color w:val="0D0D0D" w:themeColor="text1" w:themeTint="F2"/>
        </w:rPr>
        <w:t xml:space="preserve"> e </w:t>
      </w:r>
      <w:proofErr w:type="spellStart"/>
      <w:r w:rsidRPr="00C400D3">
        <w:rPr>
          <w:color w:val="0D0D0D" w:themeColor="text1" w:themeTint="F2"/>
        </w:rPr>
        <w:t>detyrave</w:t>
      </w:r>
      <w:proofErr w:type="spellEnd"/>
      <w:r w:rsidRPr="00C400D3">
        <w:rPr>
          <w:color w:val="0D0D0D" w:themeColor="text1" w:themeTint="F2"/>
        </w:rPr>
        <w:t xml:space="preserve"> </w:t>
      </w:r>
      <w:proofErr w:type="spellStart"/>
      <w:r w:rsidRPr="00C400D3">
        <w:rPr>
          <w:color w:val="0D0D0D" w:themeColor="text1" w:themeTint="F2"/>
        </w:rPr>
        <w:t>dhe</w:t>
      </w:r>
      <w:proofErr w:type="spellEnd"/>
      <w:r w:rsidRPr="006C5ED0">
        <w:rPr>
          <w:color w:val="0D0D0D" w:themeColor="text1" w:themeTint="F2"/>
          <w:sz w:val="44"/>
          <w:szCs w:val="44"/>
        </w:rPr>
        <w:t xml:space="preserve"> </w:t>
      </w:r>
      <w:proofErr w:type="spellStart"/>
      <w:r w:rsidRPr="00C400D3">
        <w:rPr>
          <w:color w:val="0D0D0D" w:themeColor="text1" w:themeTint="F2"/>
        </w:rPr>
        <w:t>përgjegjësive</w:t>
      </w:r>
      <w:proofErr w:type="spellEnd"/>
      <w:r w:rsidRPr="00C400D3">
        <w:rPr>
          <w:color w:val="0D0D0D" w:themeColor="text1" w:themeTint="F2"/>
        </w:rPr>
        <w:t xml:space="preserve"> </w:t>
      </w:r>
      <w:proofErr w:type="spellStart"/>
      <w:r w:rsidRPr="00C400D3">
        <w:rPr>
          <w:color w:val="0D0D0D" w:themeColor="text1" w:themeTint="F2"/>
        </w:rPr>
        <w:t>që</w:t>
      </w:r>
      <w:proofErr w:type="spellEnd"/>
      <w:r w:rsidRPr="00C400D3">
        <w:rPr>
          <w:color w:val="0D0D0D" w:themeColor="text1" w:themeTint="F2"/>
        </w:rPr>
        <w:t xml:space="preserve"> </w:t>
      </w:r>
      <w:proofErr w:type="spellStart"/>
      <w:r w:rsidRPr="00C400D3">
        <w:rPr>
          <w:color w:val="0D0D0D" w:themeColor="text1" w:themeTint="F2"/>
        </w:rPr>
        <w:t>Zyra</w:t>
      </w:r>
      <w:proofErr w:type="spellEnd"/>
      <w:r w:rsidRPr="00C400D3">
        <w:rPr>
          <w:color w:val="0D0D0D" w:themeColor="text1" w:themeTint="F2"/>
        </w:rPr>
        <w:t xml:space="preserve"> e </w:t>
      </w:r>
      <w:proofErr w:type="spellStart"/>
      <w:r w:rsidRPr="00C400D3">
        <w:rPr>
          <w:color w:val="0D0D0D" w:themeColor="text1" w:themeTint="F2"/>
        </w:rPr>
        <w:t>Komisionerit</w:t>
      </w:r>
      <w:proofErr w:type="spellEnd"/>
      <w:r w:rsidRPr="00C400D3">
        <w:rPr>
          <w:color w:val="0D0D0D" w:themeColor="text1" w:themeTint="F2"/>
        </w:rPr>
        <w:t xml:space="preserve">  </w:t>
      </w:r>
      <w:proofErr w:type="spellStart"/>
      <w:r w:rsidRPr="00C400D3">
        <w:rPr>
          <w:color w:val="0D0D0D" w:themeColor="text1" w:themeTint="F2"/>
        </w:rPr>
        <w:t>mbulon</w:t>
      </w:r>
      <w:proofErr w:type="spellEnd"/>
      <w:r w:rsidRPr="00C400D3">
        <w:rPr>
          <w:color w:val="0D0D0D" w:themeColor="text1" w:themeTint="F2"/>
        </w:rPr>
        <w:t xml:space="preserve"> </w:t>
      </w:r>
      <w:proofErr w:type="spellStart"/>
      <w:r w:rsidRPr="00C400D3">
        <w:rPr>
          <w:color w:val="0D0D0D" w:themeColor="text1" w:themeTint="F2"/>
        </w:rPr>
        <w:t>në</w:t>
      </w:r>
      <w:proofErr w:type="spellEnd"/>
      <w:r w:rsidRPr="00C400D3">
        <w:rPr>
          <w:color w:val="0D0D0D" w:themeColor="text1" w:themeTint="F2"/>
        </w:rPr>
        <w:t xml:space="preserve"> </w:t>
      </w:r>
      <w:proofErr w:type="spellStart"/>
      <w:r w:rsidRPr="00C400D3">
        <w:rPr>
          <w:color w:val="0D0D0D" w:themeColor="text1" w:themeTint="F2"/>
        </w:rPr>
        <w:t>fush</w:t>
      </w:r>
      <w:r w:rsidR="004D0754" w:rsidRPr="00C400D3">
        <w:rPr>
          <w:color w:val="0D0D0D" w:themeColor="text1" w:themeTint="F2"/>
        </w:rPr>
        <w:t>ë</w:t>
      </w:r>
      <w:r w:rsidRPr="00C400D3">
        <w:rPr>
          <w:color w:val="0D0D0D" w:themeColor="text1" w:themeTint="F2"/>
        </w:rPr>
        <w:t>n</w:t>
      </w:r>
      <w:proofErr w:type="spellEnd"/>
      <w:r w:rsidRPr="00C400D3">
        <w:rPr>
          <w:color w:val="0D0D0D" w:themeColor="text1" w:themeTint="F2"/>
        </w:rPr>
        <w:t xml:space="preserve"> e </w:t>
      </w:r>
      <w:proofErr w:type="spellStart"/>
      <w:r w:rsidRPr="00C400D3">
        <w:rPr>
          <w:color w:val="0D0D0D" w:themeColor="text1" w:themeTint="F2"/>
        </w:rPr>
        <w:t>saj</w:t>
      </w:r>
      <w:proofErr w:type="spellEnd"/>
      <w:r w:rsidRPr="00C400D3">
        <w:rPr>
          <w:color w:val="0D0D0D" w:themeColor="text1" w:themeTint="F2"/>
        </w:rPr>
        <w:t xml:space="preserve"> </w:t>
      </w:r>
      <w:proofErr w:type="spellStart"/>
      <w:r w:rsidRPr="00C400D3">
        <w:rPr>
          <w:color w:val="0D0D0D" w:themeColor="text1" w:themeTint="F2"/>
        </w:rPr>
        <w:t>t</w:t>
      </w:r>
      <w:r w:rsidR="004D0754" w:rsidRPr="00C400D3">
        <w:rPr>
          <w:color w:val="0D0D0D" w:themeColor="text1" w:themeTint="F2"/>
        </w:rPr>
        <w:t>ë</w:t>
      </w:r>
      <w:proofErr w:type="spellEnd"/>
      <w:r w:rsidRPr="00C400D3">
        <w:rPr>
          <w:color w:val="0D0D0D" w:themeColor="text1" w:themeTint="F2"/>
        </w:rPr>
        <w:t xml:space="preserve"> </w:t>
      </w:r>
      <w:proofErr w:type="spellStart"/>
      <w:r w:rsidRPr="00C400D3">
        <w:rPr>
          <w:color w:val="0D0D0D" w:themeColor="text1" w:themeTint="F2"/>
        </w:rPr>
        <w:t>p</w:t>
      </w:r>
      <w:r w:rsidR="004D0754" w:rsidRPr="00C400D3">
        <w:rPr>
          <w:color w:val="0D0D0D" w:themeColor="text1" w:themeTint="F2"/>
        </w:rPr>
        <w:t>ë</w:t>
      </w:r>
      <w:r w:rsidRPr="00C400D3">
        <w:rPr>
          <w:color w:val="0D0D0D" w:themeColor="text1" w:themeTint="F2"/>
        </w:rPr>
        <w:t>rgjegj</w:t>
      </w:r>
      <w:r w:rsidR="006C5ED0" w:rsidRPr="00C400D3">
        <w:rPr>
          <w:color w:val="0D0D0D" w:themeColor="text1" w:themeTint="F2"/>
        </w:rPr>
        <w:t>ë</w:t>
      </w:r>
      <w:r w:rsidRPr="00C400D3">
        <w:rPr>
          <w:color w:val="0D0D0D" w:themeColor="text1" w:themeTint="F2"/>
        </w:rPr>
        <w:t>sis</w:t>
      </w:r>
      <w:r w:rsidR="006C5ED0" w:rsidRPr="00C400D3">
        <w:rPr>
          <w:color w:val="0D0D0D" w:themeColor="text1" w:themeTint="F2"/>
        </w:rPr>
        <w:t>ë</w:t>
      </w:r>
      <w:proofErr w:type="spellEnd"/>
      <w:r w:rsidR="00AA1988">
        <w:rPr>
          <w:color w:val="0D0D0D" w:themeColor="text1" w:themeTint="F2"/>
        </w:rPr>
        <w:t>,</w:t>
      </w:r>
      <w:r w:rsidRPr="00C400D3">
        <w:rPr>
          <w:color w:val="0D0D0D" w:themeColor="text1" w:themeTint="F2"/>
        </w:rPr>
        <w:t xml:space="preserve"> </w:t>
      </w:r>
      <w:proofErr w:type="spellStart"/>
      <w:r w:rsidR="001038A8" w:rsidRPr="00C400D3">
        <w:rPr>
          <w:color w:val="0D0D0D" w:themeColor="text1" w:themeTint="F2"/>
        </w:rPr>
        <w:t>por</w:t>
      </w:r>
      <w:proofErr w:type="spellEnd"/>
      <w:r w:rsidR="001038A8" w:rsidRPr="00C400D3">
        <w:rPr>
          <w:color w:val="0D0D0D" w:themeColor="text1" w:themeTint="F2"/>
        </w:rPr>
        <w:t xml:space="preserve"> </w:t>
      </w:r>
      <w:proofErr w:type="spellStart"/>
      <w:r w:rsidR="001038A8" w:rsidRPr="00C400D3">
        <w:rPr>
          <w:color w:val="0D0D0D" w:themeColor="text1" w:themeTint="F2"/>
        </w:rPr>
        <w:t>edhe</w:t>
      </w:r>
      <w:proofErr w:type="spellEnd"/>
      <w:r w:rsidR="001038A8" w:rsidRPr="00C400D3">
        <w:rPr>
          <w:color w:val="0D0D0D" w:themeColor="text1" w:themeTint="F2"/>
        </w:rPr>
        <w:t xml:space="preserve"> </w:t>
      </w:r>
      <w:proofErr w:type="spellStart"/>
      <w:r w:rsidR="001038A8" w:rsidRPr="00C400D3">
        <w:rPr>
          <w:color w:val="0D0D0D" w:themeColor="text1" w:themeTint="F2"/>
        </w:rPr>
        <w:t>n</w:t>
      </w:r>
      <w:r w:rsidR="004D0754" w:rsidRPr="00C400D3">
        <w:rPr>
          <w:color w:val="0D0D0D" w:themeColor="text1" w:themeTint="F2"/>
        </w:rPr>
        <w:t>ë</w:t>
      </w:r>
      <w:proofErr w:type="spellEnd"/>
      <w:r w:rsidR="001038A8" w:rsidRPr="00C400D3">
        <w:rPr>
          <w:color w:val="0D0D0D" w:themeColor="text1" w:themeTint="F2"/>
        </w:rPr>
        <w:t xml:space="preserve"> </w:t>
      </w:r>
      <w:proofErr w:type="spellStart"/>
      <w:r w:rsidR="001038A8" w:rsidRPr="00C400D3">
        <w:rPr>
          <w:color w:val="0D0D0D" w:themeColor="text1" w:themeTint="F2"/>
        </w:rPr>
        <w:t>realizimin</w:t>
      </w:r>
      <w:proofErr w:type="spellEnd"/>
      <w:r w:rsidR="001038A8" w:rsidRPr="00C400D3">
        <w:rPr>
          <w:color w:val="0D0D0D" w:themeColor="text1" w:themeTint="F2"/>
        </w:rPr>
        <w:t xml:space="preserve"> e </w:t>
      </w:r>
      <w:proofErr w:type="spellStart"/>
      <w:r w:rsidR="001038A8" w:rsidRPr="00C400D3">
        <w:rPr>
          <w:color w:val="0D0D0D" w:themeColor="text1" w:themeTint="F2"/>
        </w:rPr>
        <w:t>detyrave</w:t>
      </w:r>
      <w:proofErr w:type="spellEnd"/>
      <w:r w:rsidR="001038A8" w:rsidRPr="00C400D3">
        <w:rPr>
          <w:color w:val="0D0D0D" w:themeColor="text1" w:themeTint="F2"/>
        </w:rPr>
        <w:t xml:space="preserve"> </w:t>
      </w:r>
      <w:proofErr w:type="spellStart"/>
      <w:r w:rsidR="001038A8" w:rsidRPr="00C400D3">
        <w:rPr>
          <w:color w:val="0D0D0D" w:themeColor="text1" w:themeTint="F2"/>
        </w:rPr>
        <w:t>dhe</w:t>
      </w:r>
      <w:proofErr w:type="spellEnd"/>
      <w:r w:rsidR="001038A8" w:rsidRPr="00C400D3">
        <w:rPr>
          <w:color w:val="0D0D0D" w:themeColor="text1" w:themeTint="F2"/>
        </w:rPr>
        <w:t xml:space="preserve"> </w:t>
      </w:r>
      <w:proofErr w:type="spellStart"/>
      <w:r w:rsidR="001038A8" w:rsidRPr="00C400D3">
        <w:rPr>
          <w:color w:val="0D0D0D" w:themeColor="text1" w:themeTint="F2"/>
        </w:rPr>
        <w:t>kompetecave</w:t>
      </w:r>
      <w:proofErr w:type="spellEnd"/>
      <w:r w:rsidR="001038A8" w:rsidRPr="00C400D3">
        <w:rPr>
          <w:color w:val="0D0D0D" w:themeColor="text1" w:themeTint="F2"/>
        </w:rPr>
        <w:t xml:space="preserve"> </w:t>
      </w:r>
      <w:proofErr w:type="spellStart"/>
      <w:r w:rsidR="001038A8" w:rsidRPr="00C400D3">
        <w:rPr>
          <w:color w:val="0D0D0D" w:themeColor="text1" w:themeTint="F2"/>
        </w:rPr>
        <w:t>t</w:t>
      </w:r>
      <w:r w:rsidR="004D0754" w:rsidRPr="00C400D3">
        <w:rPr>
          <w:color w:val="0D0D0D" w:themeColor="text1" w:themeTint="F2"/>
        </w:rPr>
        <w:t>ë</w:t>
      </w:r>
      <w:proofErr w:type="spellEnd"/>
      <w:r w:rsidR="001038A8" w:rsidRPr="00C400D3">
        <w:rPr>
          <w:color w:val="0D0D0D" w:themeColor="text1" w:themeTint="F2"/>
        </w:rPr>
        <w:t xml:space="preserve"> </w:t>
      </w:r>
      <w:proofErr w:type="spellStart"/>
      <w:r w:rsidR="001038A8" w:rsidRPr="00C400D3">
        <w:rPr>
          <w:color w:val="0D0D0D" w:themeColor="text1" w:themeTint="F2"/>
        </w:rPr>
        <w:t>reja</w:t>
      </w:r>
      <w:proofErr w:type="spellEnd"/>
      <w:r w:rsidR="001038A8" w:rsidRPr="00C400D3">
        <w:rPr>
          <w:color w:val="0D0D0D" w:themeColor="text1" w:themeTint="F2"/>
        </w:rPr>
        <w:t xml:space="preserve"> </w:t>
      </w:r>
      <w:proofErr w:type="spellStart"/>
      <w:r w:rsidR="006C5ED0" w:rsidRPr="00C400D3">
        <w:t>shtesë</w:t>
      </w:r>
      <w:proofErr w:type="spellEnd"/>
      <w:r w:rsidR="006C5ED0" w:rsidRPr="00C400D3">
        <w:t xml:space="preserve">, </w:t>
      </w:r>
      <w:proofErr w:type="spellStart"/>
      <w:r w:rsidR="006C5ED0" w:rsidRPr="00C400D3">
        <w:t>për</w:t>
      </w:r>
      <w:proofErr w:type="spellEnd"/>
      <w:r w:rsidR="006C5ED0" w:rsidRPr="00C400D3">
        <w:t xml:space="preserve"> </w:t>
      </w:r>
      <w:proofErr w:type="spellStart"/>
      <w:r w:rsidR="006C5ED0" w:rsidRPr="00C400D3">
        <w:t>shkak</w:t>
      </w:r>
      <w:proofErr w:type="spellEnd"/>
      <w:r w:rsidR="006C5ED0" w:rsidRPr="00C400D3">
        <w:t xml:space="preserve"> </w:t>
      </w:r>
      <w:proofErr w:type="spellStart"/>
      <w:r w:rsidR="006C5ED0" w:rsidRPr="00C400D3">
        <w:t>të</w:t>
      </w:r>
      <w:proofErr w:type="spellEnd"/>
      <w:r w:rsidR="006C5ED0" w:rsidRPr="00C400D3">
        <w:t xml:space="preserve"> </w:t>
      </w:r>
      <w:proofErr w:type="spellStart"/>
      <w:r w:rsidR="006C5ED0" w:rsidRPr="00C400D3">
        <w:t>risive</w:t>
      </w:r>
      <w:proofErr w:type="spellEnd"/>
      <w:r w:rsidR="006C5ED0" w:rsidRPr="00C400D3">
        <w:t xml:space="preserve"> </w:t>
      </w:r>
      <w:proofErr w:type="spellStart"/>
      <w:r w:rsidR="006C5ED0" w:rsidRPr="00C400D3">
        <w:t>që</w:t>
      </w:r>
      <w:proofErr w:type="spellEnd"/>
      <w:r w:rsidR="006C5ED0" w:rsidRPr="00C400D3">
        <w:t xml:space="preserve"> do </w:t>
      </w:r>
      <w:proofErr w:type="spellStart"/>
      <w:r w:rsidR="006C5ED0" w:rsidRPr="00C400D3">
        <w:t>të</w:t>
      </w:r>
      <w:proofErr w:type="spellEnd"/>
      <w:r w:rsidR="006C5ED0" w:rsidRPr="00C400D3">
        <w:t xml:space="preserve"> </w:t>
      </w:r>
      <w:proofErr w:type="spellStart"/>
      <w:r w:rsidR="006C5ED0" w:rsidRPr="00C400D3">
        <w:t>sjellë</w:t>
      </w:r>
      <w:proofErr w:type="spellEnd"/>
      <w:r w:rsidR="006C5ED0" w:rsidRPr="00C400D3">
        <w:t xml:space="preserve"> </w:t>
      </w:r>
      <w:proofErr w:type="spellStart"/>
      <w:r w:rsidR="006C5ED0" w:rsidRPr="00C400D3">
        <w:t>legjislacioni</w:t>
      </w:r>
      <w:proofErr w:type="spellEnd"/>
      <w:r w:rsidR="006C5ED0" w:rsidRPr="00C400D3">
        <w:t xml:space="preserve"> </w:t>
      </w:r>
      <w:proofErr w:type="spellStart"/>
      <w:r w:rsidR="006C5ED0" w:rsidRPr="00C400D3">
        <w:t>i</w:t>
      </w:r>
      <w:proofErr w:type="spellEnd"/>
      <w:r w:rsidR="006C5ED0" w:rsidRPr="00C400D3">
        <w:t xml:space="preserve"> </w:t>
      </w:r>
      <w:proofErr w:type="spellStart"/>
      <w:r w:rsidR="006C5ED0" w:rsidRPr="00C400D3">
        <w:t>ri</w:t>
      </w:r>
      <w:proofErr w:type="spellEnd"/>
      <w:r w:rsidR="006C5ED0" w:rsidRPr="00C400D3">
        <w:t xml:space="preserve"> </w:t>
      </w:r>
      <w:proofErr w:type="spellStart"/>
      <w:r w:rsidR="006C5ED0" w:rsidRPr="00C400D3">
        <w:t>për</w:t>
      </w:r>
      <w:proofErr w:type="spellEnd"/>
      <w:r w:rsidR="006C5ED0" w:rsidRPr="00C400D3">
        <w:t xml:space="preserve"> </w:t>
      </w:r>
      <w:proofErr w:type="spellStart"/>
      <w:r w:rsidR="006C5ED0" w:rsidRPr="00C400D3">
        <w:t>mbrojtjen</w:t>
      </w:r>
      <w:proofErr w:type="spellEnd"/>
      <w:r w:rsidR="006C5ED0" w:rsidRPr="00C400D3">
        <w:t xml:space="preserve"> e </w:t>
      </w:r>
      <w:proofErr w:type="spellStart"/>
      <w:r w:rsidR="006C5ED0" w:rsidRPr="00C400D3">
        <w:t>të</w:t>
      </w:r>
      <w:proofErr w:type="spellEnd"/>
      <w:r w:rsidR="006C5ED0" w:rsidRPr="00C400D3">
        <w:t xml:space="preserve"> </w:t>
      </w:r>
      <w:proofErr w:type="spellStart"/>
      <w:r w:rsidR="006C5ED0" w:rsidRPr="00C400D3">
        <w:t>dhënave</w:t>
      </w:r>
      <w:proofErr w:type="spellEnd"/>
      <w:r w:rsidR="006C5ED0" w:rsidRPr="00C400D3">
        <w:t xml:space="preserve"> </w:t>
      </w:r>
      <w:proofErr w:type="spellStart"/>
      <w:r w:rsidR="006C5ED0" w:rsidRPr="00C400D3">
        <w:t>personale</w:t>
      </w:r>
      <w:proofErr w:type="spellEnd"/>
      <w:r w:rsidR="006C5ED0" w:rsidRPr="00C400D3">
        <w:t xml:space="preserve"> </w:t>
      </w:r>
      <w:proofErr w:type="spellStart"/>
      <w:r w:rsidR="006C5ED0" w:rsidRPr="00C400D3">
        <w:t>i</w:t>
      </w:r>
      <w:proofErr w:type="spellEnd"/>
      <w:r w:rsidR="006C5ED0" w:rsidRPr="00C400D3">
        <w:t xml:space="preserve"> </w:t>
      </w:r>
      <w:proofErr w:type="spellStart"/>
      <w:r w:rsidR="006C5ED0" w:rsidRPr="00C400D3">
        <w:t>harmonizuar</w:t>
      </w:r>
      <w:proofErr w:type="spellEnd"/>
      <w:r w:rsidR="006C5ED0" w:rsidRPr="00C400D3">
        <w:t xml:space="preserve"> me </w:t>
      </w:r>
      <w:r w:rsidR="006C5ED0" w:rsidRPr="00C400D3">
        <w:rPr>
          <w:i/>
        </w:rPr>
        <w:t>acquis</w:t>
      </w:r>
      <w:r w:rsidR="006C5ED0" w:rsidRPr="00C400D3">
        <w:t xml:space="preserve"> </w:t>
      </w:r>
      <w:proofErr w:type="spellStart"/>
      <w:r w:rsidR="006C5ED0" w:rsidRPr="00C400D3">
        <w:t>të</w:t>
      </w:r>
      <w:proofErr w:type="spellEnd"/>
      <w:r w:rsidR="006C5ED0" w:rsidRPr="00C400D3">
        <w:t xml:space="preserve"> BE </w:t>
      </w:r>
      <w:proofErr w:type="spellStart"/>
      <w:r w:rsidR="006C5ED0" w:rsidRPr="00C400D3">
        <w:t>në</w:t>
      </w:r>
      <w:proofErr w:type="spellEnd"/>
      <w:r w:rsidR="006C5ED0" w:rsidRPr="00C400D3">
        <w:t xml:space="preserve"> </w:t>
      </w:r>
      <w:proofErr w:type="spellStart"/>
      <w:r w:rsidR="006C5ED0" w:rsidRPr="00C400D3">
        <w:t>këtë</w:t>
      </w:r>
      <w:proofErr w:type="spellEnd"/>
      <w:r w:rsidR="006C5ED0" w:rsidRPr="00C400D3">
        <w:t xml:space="preserve"> </w:t>
      </w:r>
      <w:proofErr w:type="spellStart"/>
      <w:r w:rsidR="006C5ED0" w:rsidRPr="00C400D3">
        <w:t>fushë</w:t>
      </w:r>
      <w:proofErr w:type="spellEnd"/>
      <w:r w:rsidR="006C5ED0" w:rsidRPr="00C400D3">
        <w:rPr>
          <w:color w:val="0D0D0D" w:themeColor="text1" w:themeTint="F2"/>
        </w:rPr>
        <w:t xml:space="preserve"> </w:t>
      </w:r>
      <w:proofErr w:type="spellStart"/>
      <w:r w:rsidR="001038A8" w:rsidRPr="00C400D3">
        <w:rPr>
          <w:color w:val="0D0D0D" w:themeColor="text1" w:themeTint="F2"/>
        </w:rPr>
        <w:t>V</w:t>
      </w:r>
      <w:r w:rsidRPr="00C400D3">
        <w:rPr>
          <w:color w:val="0D0D0D" w:themeColor="text1" w:themeTint="F2"/>
        </w:rPr>
        <w:t>len</w:t>
      </w:r>
      <w:proofErr w:type="spellEnd"/>
      <w:r w:rsidRPr="00C400D3">
        <w:rPr>
          <w:color w:val="0D0D0D" w:themeColor="text1" w:themeTint="F2"/>
        </w:rPr>
        <w:t xml:space="preserve"> </w:t>
      </w:r>
      <w:proofErr w:type="spellStart"/>
      <w:r w:rsidRPr="00C400D3">
        <w:rPr>
          <w:color w:val="0D0D0D" w:themeColor="text1" w:themeTint="F2"/>
        </w:rPr>
        <w:t>t</w:t>
      </w:r>
      <w:r w:rsidR="004D0754" w:rsidRPr="00C400D3">
        <w:rPr>
          <w:color w:val="0D0D0D" w:themeColor="text1" w:themeTint="F2"/>
        </w:rPr>
        <w:t>ë</w:t>
      </w:r>
      <w:proofErr w:type="spellEnd"/>
      <w:r w:rsidRPr="00C400D3">
        <w:rPr>
          <w:color w:val="0D0D0D" w:themeColor="text1" w:themeTint="F2"/>
        </w:rPr>
        <w:t xml:space="preserve"> </w:t>
      </w:r>
      <w:proofErr w:type="spellStart"/>
      <w:r w:rsidRPr="00C400D3">
        <w:rPr>
          <w:color w:val="0D0D0D" w:themeColor="text1" w:themeTint="F2"/>
        </w:rPr>
        <w:t>theksohet</w:t>
      </w:r>
      <w:proofErr w:type="spellEnd"/>
      <w:r w:rsidRPr="00C400D3">
        <w:rPr>
          <w:color w:val="0D0D0D" w:themeColor="text1" w:themeTint="F2"/>
        </w:rPr>
        <w:t xml:space="preserve"> se </w:t>
      </w:r>
      <w:proofErr w:type="spellStart"/>
      <w:r w:rsidRPr="00C400D3">
        <w:rPr>
          <w:color w:val="0D0D0D" w:themeColor="text1" w:themeTint="F2"/>
        </w:rPr>
        <w:t>k</w:t>
      </w:r>
      <w:r w:rsidR="004D0754" w:rsidRPr="00C400D3">
        <w:rPr>
          <w:color w:val="0D0D0D" w:themeColor="text1" w:themeTint="F2"/>
        </w:rPr>
        <w:t>ë</w:t>
      </w:r>
      <w:r w:rsidRPr="00C400D3">
        <w:rPr>
          <w:color w:val="0D0D0D" w:themeColor="text1" w:themeTint="F2"/>
        </w:rPr>
        <w:t>t</w:t>
      </w:r>
      <w:r w:rsidR="004D0754" w:rsidRPr="00C400D3">
        <w:rPr>
          <w:color w:val="0D0D0D" w:themeColor="text1" w:themeTint="F2"/>
        </w:rPr>
        <w:t>ë</w:t>
      </w:r>
      <w:proofErr w:type="spellEnd"/>
      <w:r w:rsidRPr="00C400D3">
        <w:rPr>
          <w:color w:val="0D0D0D" w:themeColor="text1" w:themeTint="F2"/>
        </w:rPr>
        <w:t xml:space="preserve"> </w:t>
      </w:r>
      <w:proofErr w:type="spellStart"/>
      <w:r w:rsidRPr="00C400D3">
        <w:rPr>
          <w:color w:val="0D0D0D" w:themeColor="text1" w:themeTint="F2"/>
        </w:rPr>
        <w:t>vit</w:t>
      </w:r>
      <w:proofErr w:type="spellEnd"/>
      <w:r w:rsidRPr="00C400D3">
        <w:rPr>
          <w:color w:val="0D0D0D" w:themeColor="text1" w:themeTint="F2"/>
        </w:rPr>
        <w:t xml:space="preserve">, </w:t>
      </w:r>
      <w:proofErr w:type="spellStart"/>
      <w:r w:rsidRPr="00C400D3">
        <w:rPr>
          <w:color w:val="0D0D0D" w:themeColor="text1" w:themeTint="F2"/>
        </w:rPr>
        <w:t>p</w:t>
      </w:r>
      <w:r w:rsidR="004D0754" w:rsidRPr="00C400D3">
        <w:rPr>
          <w:color w:val="0D0D0D" w:themeColor="text1" w:themeTint="F2"/>
        </w:rPr>
        <w:t>ë</w:t>
      </w:r>
      <w:r w:rsidRPr="00C400D3">
        <w:rPr>
          <w:color w:val="0D0D0D" w:themeColor="text1" w:themeTint="F2"/>
        </w:rPr>
        <w:t>rgatitja</w:t>
      </w:r>
      <w:proofErr w:type="spellEnd"/>
      <w:r w:rsidRPr="00C400D3">
        <w:rPr>
          <w:color w:val="0D0D0D" w:themeColor="text1" w:themeTint="F2"/>
        </w:rPr>
        <w:t xml:space="preserve"> e PBA–</w:t>
      </w:r>
      <w:proofErr w:type="spellStart"/>
      <w:r w:rsidRPr="00C400D3">
        <w:rPr>
          <w:color w:val="0D0D0D" w:themeColor="text1" w:themeTint="F2"/>
        </w:rPr>
        <w:t>së</w:t>
      </w:r>
      <w:proofErr w:type="spellEnd"/>
      <w:r w:rsidRPr="00C400D3">
        <w:rPr>
          <w:color w:val="0D0D0D" w:themeColor="text1" w:themeTint="F2"/>
        </w:rPr>
        <w:t xml:space="preserve"> </w:t>
      </w:r>
      <w:proofErr w:type="spellStart"/>
      <w:r w:rsidR="004D0754" w:rsidRPr="00C400D3">
        <w:rPr>
          <w:color w:val="0D0D0D" w:themeColor="text1" w:themeTint="F2"/>
        </w:rPr>
        <w:t>ë</w:t>
      </w:r>
      <w:r w:rsidR="001038A8" w:rsidRPr="00C400D3">
        <w:rPr>
          <w:color w:val="0D0D0D" w:themeColor="text1" w:themeTint="F2"/>
        </w:rPr>
        <w:t>sht</w:t>
      </w:r>
      <w:r w:rsidR="004D0754" w:rsidRPr="00C400D3">
        <w:rPr>
          <w:color w:val="0D0D0D" w:themeColor="text1" w:themeTint="F2"/>
        </w:rPr>
        <w:t>ë</w:t>
      </w:r>
      <w:proofErr w:type="spellEnd"/>
      <w:r w:rsidR="001038A8" w:rsidRPr="00C400D3">
        <w:rPr>
          <w:color w:val="0D0D0D" w:themeColor="text1" w:themeTint="F2"/>
        </w:rPr>
        <w:t xml:space="preserve"> </w:t>
      </w:r>
      <w:proofErr w:type="spellStart"/>
      <w:r w:rsidR="004D0754" w:rsidRPr="00C400D3">
        <w:rPr>
          <w:color w:val="0D0D0D" w:themeColor="text1" w:themeTint="F2"/>
        </w:rPr>
        <w:t>U</w:t>
      </w:r>
      <w:r w:rsidR="001038A8" w:rsidRPr="00C400D3">
        <w:rPr>
          <w:color w:val="0D0D0D" w:themeColor="text1" w:themeTint="F2"/>
        </w:rPr>
        <w:t>dh</w:t>
      </w:r>
      <w:r w:rsidR="004D0754" w:rsidRPr="00C400D3">
        <w:rPr>
          <w:color w:val="0D0D0D" w:themeColor="text1" w:themeTint="F2"/>
        </w:rPr>
        <w:t>ë</w:t>
      </w:r>
      <w:r w:rsidR="001038A8" w:rsidRPr="00C400D3">
        <w:rPr>
          <w:color w:val="0D0D0D" w:themeColor="text1" w:themeTint="F2"/>
        </w:rPr>
        <w:t>zuar</w:t>
      </w:r>
      <w:proofErr w:type="spellEnd"/>
      <w:r w:rsidR="001038A8" w:rsidRPr="00C400D3">
        <w:rPr>
          <w:color w:val="0D0D0D" w:themeColor="text1" w:themeTint="F2"/>
        </w:rPr>
        <w:t xml:space="preserve"> </w:t>
      </w:r>
      <w:proofErr w:type="spellStart"/>
      <w:r w:rsidR="001038A8" w:rsidRPr="00C400D3">
        <w:rPr>
          <w:color w:val="0D0D0D" w:themeColor="text1" w:themeTint="F2"/>
        </w:rPr>
        <w:t>t</w:t>
      </w:r>
      <w:r w:rsidR="004D0754" w:rsidRPr="00C400D3">
        <w:rPr>
          <w:color w:val="0D0D0D" w:themeColor="text1" w:themeTint="F2"/>
        </w:rPr>
        <w:t>ë</w:t>
      </w:r>
      <w:proofErr w:type="spellEnd"/>
      <w:r w:rsidR="001038A8" w:rsidRPr="00C400D3">
        <w:rPr>
          <w:color w:val="0D0D0D" w:themeColor="text1" w:themeTint="F2"/>
        </w:rPr>
        <w:t xml:space="preserve"> </w:t>
      </w:r>
      <w:proofErr w:type="spellStart"/>
      <w:r w:rsidR="001038A8" w:rsidRPr="00C400D3">
        <w:rPr>
          <w:color w:val="0D0D0D" w:themeColor="text1" w:themeTint="F2"/>
        </w:rPr>
        <w:t>p</w:t>
      </w:r>
      <w:r w:rsidR="004D0754" w:rsidRPr="00C400D3">
        <w:rPr>
          <w:color w:val="0D0D0D" w:themeColor="text1" w:themeTint="F2"/>
        </w:rPr>
        <w:t>ë</w:t>
      </w:r>
      <w:r w:rsidR="00AA1988">
        <w:rPr>
          <w:color w:val="0D0D0D" w:themeColor="text1" w:themeTint="F2"/>
        </w:rPr>
        <w:t>rgatitej</w:t>
      </w:r>
      <w:proofErr w:type="spellEnd"/>
      <w:r w:rsidR="00AA1988">
        <w:rPr>
          <w:color w:val="0D0D0D" w:themeColor="text1" w:themeTint="F2"/>
        </w:rPr>
        <w:t xml:space="preserve"> </w:t>
      </w:r>
      <w:proofErr w:type="spellStart"/>
      <w:r w:rsidR="001038A8" w:rsidRPr="00C400D3">
        <w:rPr>
          <w:color w:val="0D0D0D" w:themeColor="text1" w:themeTint="F2"/>
        </w:rPr>
        <w:t>n</w:t>
      </w:r>
      <w:r w:rsidR="004D0754" w:rsidRPr="00C400D3">
        <w:rPr>
          <w:color w:val="0D0D0D" w:themeColor="text1" w:themeTint="F2"/>
        </w:rPr>
        <w:t>ë</w:t>
      </w:r>
      <w:proofErr w:type="spellEnd"/>
      <w:r w:rsidR="001038A8" w:rsidRPr="00C400D3">
        <w:rPr>
          <w:color w:val="0D0D0D" w:themeColor="text1" w:themeTint="F2"/>
        </w:rPr>
        <w:t xml:space="preserve"> </w:t>
      </w:r>
      <w:proofErr w:type="spellStart"/>
      <w:r w:rsidR="001038A8" w:rsidRPr="00C400D3">
        <w:rPr>
          <w:color w:val="0D0D0D" w:themeColor="text1" w:themeTint="F2"/>
        </w:rPr>
        <w:t>sistemin</w:t>
      </w:r>
      <w:proofErr w:type="spellEnd"/>
      <w:r w:rsidR="001038A8" w:rsidRPr="00C400D3">
        <w:rPr>
          <w:color w:val="0D0D0D" w:themeColor="text1" w:themeTint="F2"/>
        </w:rPr>
        <w:t xml:space="preserve"> AFMIS, </w:t>
      </w:r>
      <w:proofErr w:type="spellStart"/>
      <w:r w:rsidR="001038A8" w:rsidRPr="00C400D3">
        <w:rPr>
          <w:color w:val="0D0D0D" w:themeColor="text1" w:themeTint="F2"/>
        </w:rPr>
        <w:t>por</w:t>
      </w:r>
      <w:proofErr w:type="spellEnd"/>
      <w:r w:rsidR="001038A8" w:rsidRPr="00C400D3">
        <w:rPr>
          <w:color w:val="0D0D0D" w:themeColor="text1" w:themeTint="F2"/>
        </w:rPr>
        <w:t xml:space="preserve"> </w:t>
      </w:r>
      <w:proofErr w:type="spellStart"/>
      <w:r w:rsidR="001038A8" w:rsidRPr="00C400D3">
        <w:rPr>
          <w:color w:val="0D0D0D" w:themeColor="text1" w:themeTint="F2"/>
        </w:rPr>
        <w:t>Zyra</w:t>
      </w:r>
      <w:proofErr w:type="spellEnd"/>
      <w:r w:rsidR="001038A8" w:rsidRPr="00C400D3">
        <w:rPr>
          <w:color w:val="0D0D0D" w:themeColor="text1" w:themeTint="F2"/>
        </w:rPr>
        <w:t xml:space="preserve"> e </w:t>
      </w:r>
      <w:proofErr w:type="spellStart"/>
      <w:r w:rsidR="001038A8" w:rsidRPr="00C400D3">
        <w:rPr>
          <w:color w:val="0D0D0D" w:themeColor="text1" w:themeTint="F2"/>
        </w:rPr>
        <w:t>Komisionerit</w:t>
      </w:r>
      <w:proofErr w:type="spellEnd"/>
      <w:r w:rsidR="001038A8" w:rsidRPr="00C400D3">
        <w:rPr>
          <w:color w:val="0D0D0D" w:themeColor="text1" w:themeTint="F2"/>
        </w:rPr>
        <w:t xml:space="preserve"> </w:t>
      </w:r>
      <w:proofErr w:type="spellStart"/>
      <w:r w:rsidR="001038A8" w:rsidRPr="00C400D3">
        <w:rPr>
          <w:color w:val="0D0D0D" w:themeColor="text1" w:themeTint="F2"/>
        </w:rPr>
        <w:t>nuk</w:t>
      </w:r>
      <w:proofErr w:type="spellEnd"/>
      <w:r w:rsidR="001038A8" w:rsidRPr="00C400D3">
        <w:rPr>
          <w:color w:val="0D0D0D" w:themeColor="text1" w:themeTint="F2"/>
        </w:rPr>
        <w:t xml:space="preserve"> </w:t>
      </w:r>
      <w:r w:rsidR="004D0754" w:rsidRPr="00C400D3">
        <w:rPr>
          <w:color w:val="0D0D0D" w:themeColor="text1" w:themeTint="F2"/>
        </w:rPr>
        <w:t>u</w:t>
      </w:r>
      <w:r w:rsidR="001038A8" w:rsidRPr="00C400D3">
        <w:rPr>
          <w:color w:val="0D0D0D" w:themeColor="text1" w:themeTint="F2"/>
        </w:rPr>
        <w:t xml:space="preserve"> </w:t>
      </w:r>
      <w:proofErr w:type="spellStart"/>
      <w:r w:rsidR="001038A8" w:rsidRPr="00C400D3">
        <w:rPr>
          <w:color w:val="0D0D0D" w:themeColor="text1" w:themeTint="F2"/>
        </w:rPr>
        <w:t>p</w:t>
      </w:r>
      <w:r w:rsidR="004D0754" w:rsidRPr="00C400D3">
        <w:rPr>
          <w:color w:val="0D0D0D" w:themeColor="text1" w:themeTint="F2"/>
        </w:rPr>
        <w:t>ë</w:t>
      </w:r>
      <w:r w:rsidR="001038A8" w:rsidRPr="00C400D3">
        <w:rPr>
          <w:color w:val="0D0D0D" w:themeColor="text1" w:themeTint="F2"/>
        </w:rPr>
        <w:t>rfshi</w:t>
      </w:r>
      <w:proofErr w:type="spellEnd"/>
      <w:r w:rsidR="00AA1988">
        <w:rPr>
          <w:color w:val="0D0D0D" w:themeColor="text1" w:themeTint="F2"/>
          <w:sz w:val="44"/>
          <w:szCs w:val="44"/>
        </w:rPr>
        <w:t xml:space="preserve"> </w:t>
      </w:r>
      <w:proofErr w:type="spellStart"/>
      <w:r w:rsidR="00AA1988">
        <w:rPr>
          <w:color w:val="0D0D0D" w:themeColor="text1" w:themeTint="F2"/>
        </w:rPr>
        <w:t>në</w:t>
      </w:r>
      <w:proofErr w:type="spellEnd"/>
      <w:r w:rsidR="00AA1988">
        <w:rPr>
          <w:color w:val="0D0D0D" w:themeColor="text1" w:themeTint="F2"/>
        </w:rPr>
        <w:t xml:space="preserve"> </w:t>
      </w:r>
      <w:proofErr w:type="spellStart"/>
      <w:r w:rsidR="00AA1988">
        <w:rPr>
          <w:color w:val="0D0D0D" w:themeColor="text1" w:themeTint="F2"/>
        </w:rPr>
        <w:t>këtë</w:t>
      </w:r>
      <w:proofErr w:type="spellEnd"/>
      <w:r w:rsidR="001038A8" w:rsidRPr="00C400D3">
        <w:rPr>
          <w:color w:val="0D0D0D" w:themeColor="text1" w:themeTint="F2"/>
        </w:rPr>
        <w:t xml:space="preserve"> </w:t>
      </w:r>
      <w:proofErr w:type="spellStart"/>
      <w:r w:rsidR="001038A8" w:rsidRPr="00C400D3">
        <w:rPr>
          <w:color w:val="0D0D0D" w:themeColor="text1" w:themeTint="F2"/>
        </w:rPr>
        <w:t>proces</w:t>
      </w:r>
      <w:proofErr w:type="spellEnd"/>
      <w:r w:rsidR="001038A8" w:rsidRPr="00C400D3">
        <w:rPr>
          <w:color w:val="0D0D0D" w:themeColor="text1" w:themeTint="F2"/>
        </w:rPr>
        <w:t xml:space="preserve"> </w:t>
      </w:r>
      <w:proofErr w:type="spellStart"/>
      <w:r w:rsidR="001038A8" w:rsidRPr="00C400D3">
        <w:rPr>
          <w:color w:val="0D0D0D" w:themeColor="text1" w:themeTint="F2"/>
        </w:rPr>
        <w:t>p</w:t>
      </w:r>
      <w:r w:rsidR="004D0754" w:rsidRPr="00C400D3">
        <w:rPr>
          <w:color w:val="0D0D0D" w:themeColor="text1" w:themeTint="F2"/>
        </w:rPr>
        <w:t>ë</w:t>
      </w:r>
      <w:r w:rsidR="001038A8" w:rsidRPr="00C400D3">
        <w:rPr>
          <w:color w:val="0D0D0D" w:themeColor="text1" w:themeTint="F2"/>
        </w:rPr>
        <w:t>r</w:t>
      </w:r>
      <w:proofErr w:type="spellEnd"/>
      <w:r w:rsidR="001038A8" w:rsidRPr="00C400D3">
        <w:rPr>
          <w:color w:val="0D0D0D" w:themeColor="text1" w:themeTint="F2"/>
        </w:rPr>
        <w:t xml:space="preserve"> </w:t>
      </w:r>
      <w:proofErr w:type="spellStart"/>
      <w:r w:rsidR="001038A8" w:rsidRPr="00C400D3">
        <w:rPr>
          <w:color w:val="0D0D0D" w:themeColor="text1" w:themeTint="F2"/>
        </w:rPr>
        <w:t>shkak</w:t>
      </w:r>
      <w:proofErr w:type="spellEnd"/>
      <w:r w:rsidR="001038A8" w:rsidRPr="00C400D3">
        <w:rPr>
          <w:color w:val="0D0D0D" w:themeColor="text1" w:themeTint="F2"/>
        </w:rPr>
        <w:t xml:space="preserve"> </w:t>
      </w:r>
      <w:proofErr w:type="spellStart"/>
      <w:r w:rsidR="001038A8" w:rsidRPr="00C400D3">
        <w:rPr>
          <w:color w:val="0D0D0D" w:themeColor="text1" w:themeTint="F2"/>
        </w:rPr>
        <w:t>t</w:t>
      </w:r>
      <w:r w:rsidR="004D0754" w:rsidRPr="00C400D3">
        <w:rPr>
          <w:color w:val="0D0D0D" w:themeColor="text1" w:themeTint="F2"/>
        </w:rPr>
        <w:t>ë</w:t>
      </w:r>
      <w:proofErr w:type="spellEnd"/>
      <w:r w:rsidR="001038A8" w:rsidRPr="00C400D3">
        <w:rPr>
          <w:color w:val="0D0D0D" w:themeColor="text1" w:themeTint="F2"/>
        </w:rPr>
        <w:t xml:space="preserve"> </w:t>
      </w:r>
      <w:proofErr w:type="spellStart"/>
      <w:r w:rsidR="001038A8" w:rsidRPr="00C400D3">
        <w:rPr>
          <w:color w:val="0D0D0D" w:themeColor="text1" w:themeTint="F2"/>
        </w:rPr>
        <w:t>r</w:t>
      </w:r>
      <w:r w:rsidR="004D0754" w:rsidRPr="00C400D3">
        <w:rPr>
          <w:color w:val="0D0D0D" w:themeColor="text1" w:themeTint="F2"/>
        </w:rPr>
        <w:t>ë</w:t>
      </w:r>
      <w:r w:rsidR="001038A8" w:rsidRPr="00C400D3">
        <w:rPr>
          <w:color w:val="0D0D0D" w:themeColor="text1" w:themeTint="F2"/>
        </w:rPr>
        <w:t>nies</w:t>
      </w:r>
      <w:proofErr w:type="spellEnd"/>
      <w:r w:rsidR="001038A8" w:rsidRPr="00C400D3">
        <w:rPr>
          <w:color w:val="0D0D0D" w:themeColor="text1" w:themeTint="F2"/>
        </w:rPr>
        <w:t xml:space="preserve"> </w:t>
      </w:r>
      <w:proofErr w:type="spellStart"/>
      <w:r w:rsidR="004D0754" w:rsidRPr="00C400D3">
        <w:rPr>
          <w:color w:val="0D0D0D" w:themeColor="text1" w:themeTint="F2"/>
        </w:rPr>
        <w:t>ndesh</w:t>
      </w:r>
      <w:proofErr w:type="spellEnd"/>
      <w:r w:rsidR="004D0754" w:rsidRPr="00C400D3">
        <w:rPr>
          <w:color w:val="0D0D0D" w:themeColor="text1" w:themeTint="F2"/>
        </w:rPr>
        <w:t xml:space="preserve"> </w:t>
      </w:r>
      <w:proofErr w:type="spellStart"/>
      <w:r w:rsidR="004D0754" w:rsidRPr="00C400D3">
        <w:rPr>
          <w:color w:val="0D0D0D" w:themeColor="text1" w:themeTint="F2"/>
        </w:rPr>
        <w:t>të</w:t>
      </w:r>
      <w:proofErr w:type="spellEnd"/>
      <w:r w:rsidR="004D0754" w:rsidRPr="00C400D3">
        <w:rPr>
          <w:color w:val="0D0D0D" w:themeColor="text1" w:themeTint="F2"/>
        </w:rPr>
        <w:t xml:space="preserve"> </w:t>
      </w:r>
      <w:proofErr w:type="spellStart"/>
      <w:r w:rsidR="004D0754" w:rsidRPr="00C400D3">
        <w:rPr>
          <w:color w:val="0D0D0D" w:themeColor="text1" w:themeTint="F2"/>
        </w:rPr>
        <w:t>këtij</w:t>
      </w:r>
      <w:proofErr w:type="spellEnd"/>
      <w:r w:rsidR="004D0754" w:rsidRPr="00C400D3">
        <w:rPr>
          <w:color w:val="0D0D0D" w:themeColor="text1" w:themeTint="F2"/>
        </w:rPr>
        <w:t xml:space="preserve"> </w:t>
      </w:r>
      <w:proofErr w:type="spellStart"/>
      <w:r w:rsidR="004D0754" w:rsidRPr="00C400D3">
        <w:rPr>
          <w:color w:val="0D0D0D" w:themeColor="text1" w:themeTint="F2"/>
        </w:rPr>
        <w:t>sistemi</w:t>
      </w:r>
      <w:proofErr w:type="spellEnd"/>
      <w:r w:rsidR="004D0754" w:rsidRPr="00C400D3">
        <w:rPr>
          <w:color w:val="0D0D0D" w:themeColor="text1" w:themeTint="F2"/>
        </w:rPr>
        <w:t xml:space="preserve">, </w:t>
      </w:r>
      <w:proofErr w:type="spellStart"/>
      <w:r w:rsidR="001038A8" w:rsidRPr="00C400D3">
        <w:rPr>
          <w:color w:val="0D0D0D" w:themeColor="text1" w:themeTint="F2"/>
        </w:rPr>
        <w:t>n</w:t>
      </w:r>
      <w:r w:rsidR="004D0754" w:rsidRPr="00C400D3">
        <w:rPr>
          <w:color w:val="0D0D0D" w:themeColor="text1" w:themeTint="F2"/>
        </w:rPr>
        <w:t>ë</w:t>
      </w:r>
      <w:proofErr w:type="spellEnd"/>
      <w:r w:rsidR="001038A8" w:rsidRPr="00C400D3">
        <w:rPr>
          <w:color w:val="0D0D0D" w:themeColor="text1" w:themeTint="F2"/>
        </w:rPr>
        <w:t xml:space="preserve"> </w:t>
      </w:r>
      <w:proofErr w:type="spellStart"/>
      <w:r w:rsidR="001038A8" w:rsidRPr="00C400D3">
        <w:rPr>
          <w:color w:val="0D0D0D" w:themeColor="text1" w:themeTint="F2"/>
        </w:rPr>
        <w:t>aspektin</w:t>
      </w:r>
      <w:proofErr w:type="spellEnd"/>
      <w:r w:rsidR="001038A8" w:rsidRPr="00C400D3">
        <w:rPr>
          <w:color w:val="0D0D0D" w:themeColor="text1" w:themeTint="F2"/>
        </w:rPr>
        <w:t xml:space="preserve"> </w:t>
      </w:r>
      <w:proofErr w:type="spellStart"/>
      <w:r w:rsidR="001038A8" w:rsidRPr="00C400D3">
        <w:rPr>
          <w:color w:val="0D0D0D" w:themeColor="text1" w:themeTint="F2"/>
        </w:rPr>
        <w:t>teknik</w:t>
      </w:r>
      <w:proofErr w:type="spellEnd"/>
      <w:r w:rsidR="004D0754" w:rsidRPr="00C400D3">
        <w:rPr>
          <w:color w:val="0D0D0D" w:themeColor="text1" w:themeTint="F2"/>
        </w:rPr>
        <w:t>,</w:t>
      </w:r>
      <w:r w:rsidR="001038A8" w:rsidRPr="00C400D3">
        <w:rPr>
          <w:color w:val="0D0D0D" w:themeColor="text1" w:themeTint="F2"/>
        </w:rPr>
        <w:t xml:space="preserve"> me </w:t>
      </w:r>
      <w:proofErr w:type="spellStart"/>
      <w:r w:rsidR="001038A8" w:rsidRPr="00C400D3">
        <w:rPr>
          <w:color w:val="0D0D0D" w:themeColor="text1" w:themeTint="F2"/>
        </w:rPr>
        <w:t>ligjin</w:t>
      </w:r>
      <w:proofErr w:type="spellEnd"/>
      <w:r w:rsidR="001038A8" w:rsidRPr="00C400D3">
        <w:rPr>
          <w:color w:val="0D0D0D" w:themeColor="text1" w:themeTint="F2"/>
        </w:rPr>
        <w:t xml:space="preserve"> </w:t>
      </w:r>
      <w:proofErr w:type="spellStart"/>
      <w:r w:rsidR="001038A8" w:rsidRPr="00C400D3">
        <w:rPr>
          <w:color w:val="0D0D0D" w:themeColor="text1" w:themeTint="F2"/>
        </w:rPr>
        <w:t>p</w:t>
      </w:r>
      <w:r w:rsidR="004D0754" w:rsidRPr="00C400D3">
        <w:rPr>
          <w:color w:val="0D0D0D" w:themeColor="text1" w:themeTint="F2"/>
        </w:rPr>
        <w:t>ë</w:t>
      </w:r>
      <w:r w:rsidR="001038A8" w:rsidRPr="00C400D3">
        <w:rPr>
          <w:color w:val="0D0D0D" w:themeColor="text1" w:themeTint="F2"/>
        </w:rPr>
        <w:t>r</w:t>
      </w:r>
      <w:proofErr w:type="spellEnd"/>
      <w:r w:rsidR="001038A8" w:rsidRPr="00C400D3">
        <w:rPr>
          <w:color w:val="0D0D0D" w:themeColor="text1" w:themeTint="F2"/>
        </w:rPr>
        <w:t xml:space="preserve"> </w:t>
      </w:r>
      <w:proofErr w:type="spellStart"/>
      <w:r w:rsidR="001038A8" w:rsidRPr="00C400D3">
        <w:rPr>
          <w:color w:val="0D0D0D" w:themeColor="text1" w:themeTint="F2"/>
        </w:rPr>
        <w:t>mbrojtjen</w:t>
      </w:r>
      <w:proofErr w:type="spellEnd"/>
      <w:r w:rsidR="001038A8" w:rsidRPr="00C400D3">
        <w:rPr>
          <w:color w:val="0D0D0D" w:themeColor="text1" w:themeTint="F2"/>
        </w:rPr>
        <w:t xml:space="preserve"> e </w:t>
      </w:r>
      <w:proofErr w:type="spellStart"/>
      <w:r w:rsidR="001038A8" w:rsidRPr="00C400D3">
        <w:rPr>
          <w:color w:val="0D0D0D" w:themeColor="text1" w:themeTint="F2"/>
        </w:rPr>
        <w:t>t</w:t>
      </w:r>
      <w:r w:rsidR="004D0754" w:rsidRPr="00C400D3">
        <w:rPr>
          <w:color w:val="0D0D0D" w:themeColor="text1" w:themeTint="F2"/>
        </w:rPr>
        <w:t>ë</w:t>
      </w:r>
      <w:proofErr w:type="spellEnd"/>
      <w:r w:rsidR="001038A8" w:rsidRPr="00C400D3">
        <w:rPr>
          <w:color w:val="0D0D0D" w:themeColor="text1" w:themeTint="F2"/>
        </w:rPr>
        <w:t xml:space="preserve"> </w:t>
      </w:r>
      <w:proofErr w:type="spellStart"/>
      <w:r w:rsidR="001038A8" w:rsidRPr="00C400D3">
        <w:rPr>
          <w:color w:val="0D0D0D" w:themeColor="text1" w:themeTint="F2"/>
        </w:rPr>
        <w:t>dh</w:t>
      </w:r>
      <w:r w:rsidR="004D0754" w:rsidRPr="00C400D3">
        <w:rPr>
          <w:color w:val="0D0D0D" w:themeColor="text1" w:themeTint="F2"/>
        </w:rPr>
        <w:t>ë</w:t>
      </w:r>
      <w:r w:rsidR="001038A8" w:rsidRPr="00C400D3">
        <w:rPr>
          <w:color w:val="0D0D0D" w:themeColor="text1" w:themeTint="F2"/>
        </w:rPr>
        <w:t>nave</w:t>
      </w:r>
      <w:proofErr w:type="spellEnd"/>
      <w:r w:rsidR="001038A8" w:rsidRPr="00C400D3">
        <w:rPr>
          <w:color w:val="0D0D0D" w:themeColor="text1" w:themeTint="F2"/>
        </w:rPr>
        <w:t xml:space="preserve"> </w:t>
      </w:r>
      <w:proofErr w:type="spellStart"/>
      <w:r w:rsidR="001038A8" w:rsidRPr="00C400D3">
        <w:rPr>
          <w:color w:val="0D0D0D" w:themeColor="text1" w:themeTint="F2"/>
        </w:rPr>
        <w:t>personale</w:t>
      </w:r>
      <w:proofErr w:type="spellEnd"/>
      <w:r w:rsidR="001038A8" w:rsidRPr="00C400D3">
        <w:rPr>
          <w:color w:val="0D0D0D" w:themeColor="text1" w:themeTint="F2"/>
        </w:rPr>
        <w:t xml:space="preserve">. Duke </w:t>
      </w:r>
      <w:proofErr w:type="spellStart"/>
      <w:r w:rsidR="001038A8" w:rsidRPr="00C400D3">
        <w:rPr>
          <w:color w:val="0D0D0D" w:themeColor="text1" w:themeTint="F2"/>
        </w:rPr>
        <w:t>shpresuar</w:t>
      </w:r>
      <w:proofErr w:type="spellEnd"/>
      <w:r w:rsidR="001038A8" w:rsidRPr="00C400D3">
        <w:rPr>
          <w:color w:val="0D0D0D" w:themeColor="text1" w:themeTint="F2"/>
        </w:rPr>
        <w:t xml:space="preserve"> </w:t>
      </w:r>
      <w:proofErr w:type="spellStart"/>
      <w:r w:rsidR="001038A8" w:rsidRPr="00C400D3">
        <w:rPr>
          <w:color w:val="0D0D0D" w:themeColor="text1" w:themeTint="F2"/>
        </w:rPr>
        <w:t>n</w:t>
      </w:r>
      <w:r w:rsidR="004D0754" w:rsidRPr="00C400D3">
        <w:rPr>
          <w:color w:val="0D0D0D" w:themeColor="text1" w:themeTint="F2"/>
        </w:rPr>
        <w:t>ë</w:t>
      </w:r>
      <w:proofErr w:type="spellEnd"/>
      <w:r w:rsidR="001038A8" w:rsidRPr="00C400D3">
        <w:rPr>
          <w:color w:val="0D0D0D" w:themeColor="text1" w:themeTint="F2"/>
        </w:rPr>
        <w:t xml:space="preserve"> </w:t>
      </w:r>
      <w:proofErr w:type="spellStart"/>
      <w:r w:rsidR="001038A8" w:rsidRPr="00C400D3">
        <w:rPr>
          <w:color w:val="0D0D0D" w:themeColor="text1" w:themeTint="F2"/>
        </w:rPr>
        <w:t>nj</w:t>
      </w:r>
      <w:r w:rsidR="004D0754" w:rsidRPr="00C400D3">
        <w:rPr>
          <w:color w:val="0D0D0D" w:themeColor="text1" w:themeTint="F2"/>
        </w:rPr>
        <w:t>ë</w:t>
      </w:r>
      <w:proofErr w:type="spellEnd"/>
      <w:r w:rsidR="001038A8" w:rsidRPr="00C400D3">
        <w:rPr>
          <w:color w:val="0D0D0D" w:themeColor="text1" w:themeTint="F2"/>
        </w:rPr>
        <w:t xml:space="preserve"> </w:t>
      </w:r>
      <w:proofErr w:type="spellStart"/>
      <w:r w:rsidR="001038A8" w:rsidRPr="00C400D3">
        <w:rPr>
          <w:color w:val="0D0D0D" w:themeColor="text1" w:themeTint="F2"/>
        </w:rPr>
        <w:t>zgjidhje</w:t>
      </w:r>
      <w:proofErr w:type="spellEnd"/>
      <w:r w:rsidR="001038A8" w:rsidRPr="00C400D3">
        <w:rPr>
          <w:color w:val="0D0D0D" w:themeColor="text1" w:themeTint="F2"/>
        </w:rPr>
        <w:t xml:space="preserve"> </w:t>
      </w:r>
      <w:proofErr w:type="spellStart"/>
      <w:r w:rsidR="001038A8" w:rsidRPr="00C400D3">
        <w:rPr>
          <w:color w:val="0D0D0D" w:themeColor="text1" w:themeTint="F2"/>
        </w:rPr>
        <w:t>t</w:t>
      </w:r>
      <w:r w:rsidR="004D0754" w:rsidRPr="00C400D3">
        <w:rPr>
          <w:color w:val="0D0D0D" w:themeColor="text1" w:themeTint="F2"/>
        </w:rPr>
        <w:t>ë</w:t>
      </w:r>
      <w:proofErr w:type="spellEnd"/>
      <w:r w:rsidR="001038A8" w:rsidRPr="00C400D3">
        <w:rPr>
          <w:color w:val="0D0D0D" w:themeColor="text1" w:themeTint="F2"/>
        </w:rPr>
        <w:t xml:space="preserve"> re alternative</w:t>
      </w:r>
      <w:r w:rsidR="004D0754" w:rsidRPr="00C400D3">
        <w:rPr>
          <w:color w:val="0D0D0D" w:themeColor="text1" w:themeTint="F2"/>
        </w:rPr>
        <w:t>,</w:t>
      </w:r>
      <w:r w:rsidR="001038A8" w:rsidRPr="00C400D3">
        <w:rPr>
          <w:color w:val="0D0D0D" w:themeColor="text1" w:themeTint="F2"/>
        </w:rPr>
        <w:t xml:space="preserve"> </w:t>
      </w:r>
      <w:proofErr w:type="spellStart"/>
      <w:r w:rsidR="001038A8" w:rsidRPr="00C400D3">
        <w:rPr>
          <w:color w:val="0D0D0D" w:themeColor="text1" w:themeTint="F2"/>
        </w:rPr>
        <w:t>vler</w:t>
      </w:r>
      <w:r w:rsidR="004D0754" w:rsidRPr="00C400D3">
        <w:rPr>
          <w:color w:val="0D0D0D" w:themeColor="text1" w:themeTint="F2"/>
        </w:rPr>
        <w:t>ë</w:t>
      </w:r>
      <w:r w:rsidR="001038A8" w:rsidRPr="00C400D3">
        <w:rPr>
          <w:color w:val="0D0D0D" w:themeColor="text1" w:themeTint="F2"/>
        </w:rPr>
        <w:t>sojm</w:t>
      </w:r>
      <w:r w:rsidR="004D0754" w:rsidRPr="00C400D3">
        <w:rPr>
          <w:color w:val="0D0D0D" w:themeColor="text1" w:themeTint="F2"/>
        </w:rPr>
        <w:t>ë</w:t>
      </w:r>
      <w:proofErr w:type="spellEnd"/>
      <w:r w:rsidR="001038A8" w:rsidRPr="00C400D3">
        <w:rPr>
          <w:color w:val="0D0D0D" w:themeColor="text1" w:themeTint="F2"/>
        </w:rPr>
        <w:t xml:space="preserve"> se </w:t>
      </w:r>
      <w:proofErr w:type="spellStart"/>
      <w:r w:rsidR="001038A8" w:rsidRPr="00C400D3">
        <w:rPr>
          <w:color w:val="0D0D0D" w:themeColor="text1" w:themeTint="F2"/>
        </w:rPr>
        <w:t>Zyr</w:t>
      </w:r>
      <w:r w:rsidR="000F7C1E" w:rsidRPr="00C400D3">
        <w:rPr>
          <w:color w:val="0D0D0D" w:themeColor="text1" w:themeTint="F2"/>
        </w:rPr>
        <w:t>a</w:t>
      </w:r>
      <w:proofErr w:type="spellEnd"/>
      <w:r w:rsidR="001038A8" w:rsidRPr="00C400D3">
        <w:rPr>
          <w:color w:val="0D0D0D" w:themeColor="text1" w:themeTint="F2"/>
        </w:rPr>
        <w:t xml:space="preserve"> </w:t>
      </w:r>
      <w:r w:rsidR="000F7C1E" w:rsidRPr="00C400D3">
        <w:rPr>
          <w:color w:val="0D0D0D" w:themeColor="text1" w:themeTint="F2"/>
        </w:rPr>
        <w:t>e</w:t>
      </w:r>
      <w:r w:rsidR="001038A8" w:rsidRPr="00C400D3">
        <w:rPr>
          <w:color w:val="0D0D0D" w:themeColor="text1" w:themeTint="F2"/>
        </w:rPr>
        <w:t xml:space="preserve"> </w:t>
      </w:r>
      <w:proofErr w:type="spellStart"/>
      <w:r w:rsidR="001038A8" w:rsidRPr="00C400D3">
        <w:rPr>
          <w:color w:val="0D0D0D" w:themeColor="text1" w:themeTint="F2"/>
        </w:rPr>
        <w:t>Komisionerit</w:t>
      </w:r>
      <w:proofErr w:type="spellEnd"/>
      <w:r w:rsidR="001038A8" w:rsidRPr="006C5ED0">
        <w:rPr>
          <w:color w:val="0D0D0D" w:themeColor="text1" w:themeTint="F2"/>
          <w:sz w:val="44"/>
          <w:szCs w:val="44"/>
        </w:rPr>
        <w:t xml:space="preserve"> </w:t>
      </w:r>
      <w:proofErr w:type="spellStart"/>
      <w:r w:rsidRPr="00C400D3">
        <w:rPr>
          <w:color w:val="0D0D0D" w:themeColor="text1" w:themeTint="F2"/>
        </w:rPr>
        <w:t>n</w:t>
      </w:r>
      <w:r w:rsidR="004D0754" w:rsidRPr="00C400D3">
        <w:rPr>
          <w:color w:val="0D0D0D" w:themeColor="text1" w:themeTint="F2"/>
        </w:rPr>
        <w:t>ë</w:t>
      </w:r>
      <w:proofErr w:type="spellEnd"/>
      <w:r w:rsidRPr="006C5ED0">
        <w:rPr>
          <w:color w:val="0D0D0D" w:themeColor="text1" w:themeTint="F2"/>
          <w:sz w:val="44"/>
          <w:szCs w:val="44"/>
        </w:rPr>
        <w:t xml:space="preserve"> </w:t>
      </w:r>
      <w:proofErr w:type="spellStart"/>
      <w:r w:rsidRPr="00C400D3">
        <w:rPr>
          <w:color w:val="0D0D0D" w:themeColor="text1" w:themeTint="F2"/>
        </w:rPr>
        <w:t>bashk</w:t>
      </w:r>
      <w:r w:rsidR="004D0754" w:rsidRPr="00C400D3">
        <w:rPr>
          <w:color w:val="0D0D0D" w:themeColor="text1" w:themeTint="F2"/>
        </w:rPr>
        <w:t>ë</w:t>
      </w:r>
      <w:r w:rsidRPr="00C400D3">
        <w:rPr>
          <w:color w:val="0D0D0D" w:themeColor="text1" w:themeTint="F2"/>
        </w:rPr>
        <w:t>punim</w:t>
      </w:r>
      <w:proofErr w:type="spellEnd"/>
      <w:r w:rsidRPr="00C400D3">
        <w:rPr>
          <w:color w:val="0D0D0D" w:themeColor="text1" w:themeTint="F2"/>
        </w:rPr>
        <w:t xml:space="preserve"> </w:t>
      </w:r>
      <w:proofErr w:type="spellStart"/>
      <w:r w:rsidRPr="00C400D3">
        <w:rPr>
          <w:color w:val="0D0D0D" w:themeColor="text1" w:themeTint="F2"/>
        </w:rPr>
        <w:t>t</w:t>
      </w:r>
      <w:r w:rsidR="004D0754" w:rsidRPr="00C400D3">
        <w:rPr>
          <w:color w:val="0D0D0D" w:themeColor="text1" w:themeTint="F2"/>
        </w:rPr>
        <w:t>ë</w:t>
      </w:r>
      <w:proofErr w:type="spellEnd"/>
      <w:r w:rsidRPr="00C400D3">
        <w:rPr>
          <w:color w:val="0D0D0D" w:themeColor="text1" w:themeTint="F2"/>
        </w:rPr>
        <w:t xml:space="preserve"> </w:t>
      </w:r>
      <w:proofErr w:type="spellStart"/>
      <w:r w:rsidRPr="00C400D3">
        <w:rPr>
          <w:color w:val="0D0D0D" w:themeColor="text1" w:themeTint="F2"/>
        </w:rPr>
        <w:t>ngusht</w:t>
      </w:r>
      <w:r w:rsidR="004D0754" w:rsidRPr="00C400D3">
        <w:rPr>
          <w:color w:val="0D0D0D" w:themeColor="text1" w:themeTint="F2"/>
        </w:rPr>
        <w:t>ë</w:t>
      </w:r>
      <w:proofErr w:type="spellEnd"/>
      <w:r w:rsidRPr="00C400D3">
        <w:rPr>
          <w:color w:val="0D0D0D" w:themeColor="text1" w:themeTint="F2"/>
        </w:rPr>
        <w:t xml:space="preserve"> me </w:t>
      </w:r>
      <w:r w:rsidR="004D0754" w:rsidRPr="00C400D3">
        <w:rPr>
          <w:color w:val="0D0D0D" w:themeColor="text1" w:themeTint="F2"/>
        </w:rPr>
        <w:t>MFE</w:t>
      </w:r>
      <w:r w:rsidR="000F7C1E" w:rsidRPr="00C400D3">
        <w:rPr>
          <w:color w:val="0D0D0D" w:themeColor="text1" w:themeTint="F2"/>
        </w:rPr>
        <w:t xml:space="preserve">, do </w:t>
      </w:r>
      <w:proofErr w:type="spellStart"/>
      <w:r w:rsidR="000F7C1E" w:rsidRPr="00C400D3">
        <w:rPr>
          <w:color w:val="0D0D0D" w:themeColor="text1" w:themeTint="F2"/>
        </w:rPr>
        <w:t>të</w:t>
      </w:r>
      <w:proofErr w:type="spellEnd"/>
      <w:r w:rsidR="000F7C1E" w:rsidRPr="00C400D3">
        <w:rPr>
          <w:color w:val="0D0D0D" w:themeColor="text1" w:themeTint="F2"/>
        </w:rPr>
        <w:t xml:space="preserve"> </w:t>
      </w:r>
      <w:proofErr w:type="spellStart"/>
      <w:r w:rsidR="000F7C1E" w:rsidRPr="00C400D3">
        <w:rPr>
          <w:color w:val="0D0D0D" w:themeColor="text1" w:themeTint="F2"/>
        </w:rPr>
        <w:t>japë</w:t>
      </w:r>
      <w:proofErr w:type="spellEnd"/>
      <w:r w:rsidR="000F7C1E" w:rsidRPr="00C400D3">
        <w:rPr>
          <w:color w:val="0D0D0D" w:themeColor="text1" w:themeTint="F2"/>
        </w:rPr>
        <w:t xml:space="preserve"> </w:t>
      </w:r>
      <w:proofErr w:type="spellStart"/>
      <w:r w:rsidR="000F7C1E" w:rsidRPr="00C400D3">
        <w:rPr>
          <w:color w:val="0D0D0D" w:themeColor="text1" w:themeTint="F2"/>
        </w:rPr>
        <w:t>kontributin</w:t>
      </w:r>
      <w:proofErr w:type="spellEnd"/>
      <w:r w:rsidR="000F7C1E" w:rsidRPr="00C400D3">
        <w:rPr>
          <w:color w:val="0D0D0D" w:themeColor="text1" w:themeTint="F2"/>
        </w:rPr>
        <w:t xml:space="preserve"> e </w:t>
      </w:r>
      <w:proofErr w:type="spellStart"/>
      <w:r w:rsidR="000F7C1E" w:rsidRPr="00C400D3">
        <w:rPr>
          <w:color w:val="0D0D0D" w:themeColor="text1" w:themeTint="F2"/>
        </w:rPr>
        <w:t>saj</w:t>
      </w:r>
      <w:proofErr w:type="spellEnd"/>
      <w:r w:rsidR="000F7C1E" w:rsidRPr="00C400D3">
        <w:rPr>
          <w:color w:val="0D0D0D" w:themeColor="text1" w:themeTint="F2"/>
        </w:rPr>
        <w:t xml:space="preserve"> </w:t>
      </w:r>
      <w:proofErr w:type="spellStart"/>
      <w:r w:rsidR="000F7C1E" w:rsidRPr="00C400D3">
        <w:rPr>
          <w:color w:val="0D0D0D" w:themeColor="text1" w:themeTint="F2"/>
        </w:rPr>
        <w:t>në</w:t>
      </w:r>
      <w:proofErr w:type="spellEnd"/>
      <w:r w:rsidR="000F7C1E" w:rsidRPr="00C400D3">
        <w:rPr>
          <w:color w:val="0D0D0D" w:themeColor="text1" w:themeTint="F2"/>
        </w:rPr>
        <w:t xml:space="preserve"> </w:t>
      </w:r>
      <w:proofErr w:type="spellStart"/>
      <w:r w:rsidR="000F7C1E" w:rsidRPr="00C400D3">
        <w:rPr>
          <w:color w:val="0D0D0D" w:themeColor="text1" w:themeTint="F2"/>
        </w:rPr>
        <w:t>këtë</w:t>
      </w:r>
      <w:proofErr w:type="spellEnd"/>
      <w:r w:rsidR="000F7C1E" w:rsidRPr="00C400D3">
        <w:rPr>
          <w:color w:val="0D0D0D" w:themeColor="text1" w:themeTint="F2"/>
        </w:rPr>
        <w:t xml:space="preserve"> </w:t>
      </w:r>
      <w:proofErr w:type="spellStart"/>
      <w:r w:rsidR="000F7C1E" w:rsidRPr="00C400D3">
        <w:rPr>
          <w:color w:val="0D0D0D" w:themeColor="text1" w:themeTint="F2"/>
        </w:rPr>
        <w:t>sistem</w:t>
      </w:r>
      <w:proofErr w:type="spellEnd"/>
      <w:r w:rsidR="000F7C1E" w:rsidRPr="00C400D3">
        <w:rPr>
          <w:color w:val="0D0D0D" w:themeColor="text1" w:themeTint="F2"/>
        </w:rPr>
        <w:t xml:space="preserve">. </w:t>
      </w:r>
      <w:proofErr w:type="spellStart"/>
      <w:r w:rsidR="001038A8" w:rsidRPr="00C400D3">
        <w:rPr>
          <w:color w:val="0D0D0D" w:themeColor="text1" w:themeTint="F2"/>
        </w:rPr>
        <w:t>Sistemet</w:t>
      </w:r>
      <w:proofErr w:type="spellEnd"/>
      <w:r w:rsidR="001038A8" w:rsidRPr="00C400D3">
        <w:rPr>
          <w:color w:val="0D0D0D" w:themeColor="text1" w:themeTint="F2"/>
        </w:rPr>
        <w:t xml:space="preserve"> e </w:t>
      </w:r>
      <w:proofErr w:type="spellStart"/>
      <w:r w:rsidR="001038A8" w:rsidRPr="00C400D3">
        <w:rPr>
          <w:color w:val="0D0D0D" w:themeColor="text1" w:themeTint="F2"/>
        </w:rPr>
        <w:t>teknologjis</w:t>
      </w:r>
      <w:r w:rsidR="000F7C1E" w:rsidRPr="00C400D3">
        <w:rPr>
          <w:color w:val="0D0D0D" w:themeColor="text1" w:themeTint="F2"/>
        </w:rPr>
        <w:t>ë</w:t>
      </w:r>
      <w:proofErr w:type="spellEnd"/>
      <w:r w:rsidR="001038A8" w:rsidRPr="00C400D3">
        <w:rPr>
          <w:color w:val="0D0D0D" w:themeColor="text1" w:themeTint="F2"/>
        </w:rPr>
        <w:t xml:space="preserve"> </w:t>
      </w:r>
      <w:proofErr w:type="spellStart"/>
      <w:r w:rsidR="001038A8" w:rsidRPr="00C400D3">
        <w:rPr>
          <w:color w:val="0D0D0D" w:themeColor="text1" w:themeTint="F2"/>
        </w:rPr>
        <w:t>s</w:t>
      </w:r>
      <w:r w:rsidR="000F7C1E" w:rsidRPr="00C400D3">
        <w:rPr>
          <w:color w:val="0D0D0D" w:themeColor="text1" w:themeTint="F2"/>
        </w:rPr>
        <w:t>ë</w:t>
      </w:r>
      <w:proofErr w:type="spellEnd"/>
      <w:r w:rsidR="001038A8" w:rsidRPr="00C400D3">
        <w:rPr>
          <w:color w:val="0D0D0D" w:themeColor="text1" w:themeTint="F2"/>
        </w:rPr>
        <w:t xml:space="preserve"> </w:t>
      </w:r>
      <w:proofErr w:type="spellStart"/>
      <w:r w:rsidR="001038A8" w:rsidRPr="00C400D3">
        <w:rPr>
          <w:color w:val="0D0D0D" w:themeColor="text1" w:themeTint="F2"/>
        </w:rPr>
        <w:t>informacionit</w:t>
      </w:r>
      <w:proofErr w:type="spellEnd"/>
      <w:r w:rsidR="001038A8" w:rsidRPr="00C400D3">
        <w:rPr>
          <w:color w:val="0D0D0D" w:themeColor="text1" w:themeTint="F2"/>
        </w:rPr>
        <w:t xml:space="preserve"> </w:t>
      </w:r>
      <w:proofErr w:type="spellStart"/>
      <w:r w:rsidR="001038A8" w:rsidRPr="00C400D3">
        <w:rPr>
          <w:color w:val="0D0D0D" w:themeColor="text1" w:themeTint="F2"/>
        </w:rPr>
        <w:t>jan</w:t>
      </w:r>
      <w:r w:rsidR="000F7C1E" w:rsidRPr="00C400D3">
        <w:rPr>
          <w:color w:val="0D0D0D" w:themeColor="text1" w:themeTint="F2"/>
        </w:rPr>
        <w:t>ë</w:t>
      </w:r>
      <w:proofErr w:type="spellEnd"/>
      <w:r w:rsidR="001038A8" w:rsidRPr="00C400D3">
        <w:rPr>
          <w:color w:val="0D0D0D" w:themeColor="text1" w:themeTint="F2"/>
        </w:rPr>
        <w:t xml:space="preserve"> </w:t>
      </w:r>
      <w:proofErr w:type="spellStart"/>
      <w:r w:rsidR="001038A8" w:rsidRPr="00C400D3">
        <w:rPr>
          <w:color w:val="0D0D0D" w:themeColor="text1" w:themeTint="F2"/>
        </w:rPr>
        <w:t>efektive</w:t>
      </w:r>
      <w:proofErr w:type="spellEnd"/>
      <w:r w:rsidR="001038A8" w:rsidRPr="00C400D3">
        <w:rPr>
          <w:color w:val="0D0D0D" w:themeColor="text1" w:themeTint="F2"/>
        </w:rPr>
        <w:t xml:space="preserve">, </w:t>
      </w:r>
      <w:proofErr w:type="spellStart"/>
      <w:r w:rsidR="001038A8" w:rsidRPr="00C400D3">
        <w:rPr>
          <w:color w:val="0D0D0D" w:themeColor="text1" w:themeTint="F2"/>
        </w:rPr>
        <w:t>si</w:t>
      </w:r>
      <w:r w:rsidR="006C5ED0" w:rsidRPr="00C400D3">
        <w:rPr>
          <w:color w:val="0D0D0D" w:themeColor="text1" w:themeTint="F2"/>
        </w:rPr>
        <w:t>ç</w:t>
      </w:r>
      <w:proofErr w:type="spellEnd"/>
      <w:r w:rsidR="001038A8" w:rsidRPr="00C400D3">
        <w:rPr>
          <w:color w:val="0D0D0D" w:themeColor="text1" w:themeTint="F2"/>
        </w:rPr>
        <w:t xml:space="preserve"> </w:t>
      </w:r>
      <w:proofErr w:type="spellStart"/>
      <w:r w:rsidR="006C5ED0" w:rsidRPr="00C400D3">
        <w:rPr>
          <w:color w:val="0D0D0D" w:themeColor="text1" w:themeTint="F2"/>
        </w:rPr>
        <w:t>është</w:t>
      </w:r>
      <w:proofErr w:type="spellEnd"/>
      <w:r w:rsidR="006C5ED0" w:rsidRPr="00C400D3">
        <w:rPr>
          <w:color w:val="0D0D0D" w:themeColor="text1" w:themeTint="F2"/>
        </w:rPr>
        <w:t xml:space="preserve"> </w:t>
      </w:r>
      <w:proofErr w:type="spellStart"/>
      <w:r w:rsidR="001038A8" w:rsidRPr="00C400D3">
        <w:rPr>
          <w:color w:val="0D0D0D" w:themeColor="text1" w:themeTint="F2"/>
        </w:rPr>
        <w:t>dhe</w:t>
      </w:r>
      <w:proofErr w:type="spellEnd"/>
      <w:r w:rsidR="001038A8" w:rsidRPr="00C400D3">
        <w:rPr>
          <w:color w:val="0D0D0D" w:themeColor="text1" w:themeTint="F2"/>
        </w:rPr>
        <w:t xml:space="preserve"> AFMIS-</w:t>
      </w:r>
      <w:proofErr w:type="spellStart"/>
      <w:r w:rsidR="000F7C1E" w:rsidRPr="00C400D3">
        <w:rPr>
          <w:color w:val="0D0D0D" w:themeColor="text1" w:themeTint="F2"/>
        </w:rPr>
        <w:t>i</w:t>
      </w:r>
      <w:proofErr w:type="spellEnd"/>
      <w:r w:rsidR="001038A8" w:rsidRPr="00C400D3">
        <w:rPr>
          <w:color w:val="0D0D0D" w:themeColor="text1" w:themeTint="F2"/>
        </w:rPr>
        <w:t xml:space="preserve">, </w:t>
      </w:r>
      <w:proofErr w:type="spellStart"/>
      <w:r w:rsidRPr="00C400D3">
        <w:rPr>
          <w:color w:val="0D0D0D" w:themeColor="text1" w:themeTint="F2"/>
        </w:rPr>
        <w:t>i</w:t>
      </w:r>
      <w:proofErr w:type="spellEnd"/>
      <w:r w:rsidRPr="00C400D3">
        <w:rPr>
          <w:color w:val="0D0D0D" w:themeColor="text1" w:themeTint="F2"/>
        </w:rPr>
        <w:t xml:space="preserve"> </w:t>
      </w:r>
      <w:proofErr w:type="spellStart"/>
      <w:r w:rsidRPr="00C400D3">
        <w:rPr>
          <w:color w:val="0D0D0D" w:themeColor="text1" w:themeTint="F2"/>
        </w:rPr>
        <w:t>cili</w:t>
      </w:r>
      <w:proofErr w:type="spellEnd"/>
      <w:r w:rsidRPr="00C400D3">
        <w:rPr>
          <w:color w:val="0D0D0D" w:themeColor="text1" w:themeTint="F2"/>
        </w:rPr>
        <w:t xml:space="preserve"> </w:t>
      </w:r>
      <w:proofErr w:type="spellStart"/>
      <w:r w:rsidRPr="00C400D3">
        <w:rPr>
          <w:color w:val="0D0D0D" w:themeColor="text1" w:themeTint="F2"/>
        </w:rPr>
        <w:t>pritet</w:t>
      </w:r>
      <w:proofErr w:type="spellEnd"/>
      <w:r w:rsidRPr="00C400D3">
        <w:rPr>
          <w:color w:val="0D0D0D" w:themeColor="text1" w:themeTint="F2"/>
        </w:rPr>
        <w:t xml:space="preserve"> </w:t>
      </w:r>
      <w:proofErr w:type="spellStart"/>
      <w:r w:rsidRPr="00C400D3">
        <w:rPr>
          <w:color w:val="0D0D0D" w:themeColor="text1" w:themeTint="F2"/>
        </w:rPr>
        <w:t>t</w:t>
      </w:r>
      <w:r w:rsidR="000F7C1E" w:rsidRPr="00C400D3">
        <w:rPr>
          <w:color w:val="0D0D0D" w:themeColor="text1" w:themeTint="F2"/>
        </w:rPr>
        <w:t>ë</w:t>
      </w:r>
      <w:proofErr w:type="spellEnd"/>
      <w:r w:rsidRPr="00C400D3">
        <w:rPr>
          <w:color w:val="0D0D0D" w:themeColor="text1" w:themeTint="F2"/>
        </w:rPr>
        <w:t xml:space="preserve"> </w:t>
      </w:r>
      <w:proofErr w:type="spellStart"/>
      <w:r w:rsidRPr="00C400D3">
        <w:rPr>
          <w:color w:val="0D0D0D" w:themeColor="text1" w:themeTint="F2"/>
        </w:rPr>
        <w:t>facilitoj</w:t>
      </w:r>
      <w:r w:rsidR="000F7C1E" w:rsidRPr="00C400D3">
        <w:rPr>
          <w:color w:val="0D0D0D" w:themeColor="text1" w:themeTint="F2"/>
        </w:rPr>
        <w:t>ë</w:t>
      </w:r>
      <w:proofErr w:type="spellEnd"/>
      <w:r w:rsidRPr="00C400D3">
        <w:rPr>
          <w:color w:val="0D0D0D" w:themeColor="text1" w:themeTint="F2"/>
        </w:rPr>
        <w:t xml:space="preserve"> </w:t>
      </w:r>
      <w:proofErr w:type="spellStart"/>
      <w:r w:rsidRPr="00C400D3">
        <w:rPr>
          <w:color w:val="0D0D0D" w:themeColor="text1" w:themeTint="F2"/>
        </w:rPr>
        <w:t>dhe</w:t>
      </w:r>
      <w:proofErr w:type="spellEnd"/>
      <w:r w:rsidRPr="00C400D3">
        <w:rPr>
          <w:color w:val="0D0D0D" w:themeColor="text1" w:themeTint="F2"/>
        </w:rPr>
        <w:t xml:space="preserve"> </w:t>
      </w:r>
      <w:proofErr w:type="spellStart"/>
      <w:r w:rsidRPr="00C400D3">
        <w:rPr>
          <w:color w:val="0D0D0D" w:themeColor="text1" w:themeTint="F2"/>
        </w:rPr>
        <w:t>unifikoj</w:t>
      </w:r>
      <w:r w:rsidR="000F7C1E" w:rsidRPr="00C400D3">
        <w:rPr>
          <w:color w:val="0D0D0D" w:themeColor="text1" w:themeTint="F2"/>
        </w:rPr>
        <w:t>ë</w:t>
      </w:r>
      <w:proofErr w:type="spellEnd"/>
      <w:r w:rsidRPr="00C400D3">
        <w:rPr>
          <w:color w:val="0D0D0D" w:themeColor="text1" w:themeTint="F2"/>
        </w:rPr>
        <w:t xml:space="preserve"> </w:t>
      </w:r>
      <w:proofErr w:type="spellStart"/>
      <w:r w:rsidRPr="00C400D3">
        <w:rPr>
          <w:color w:val="0D0D0D" w:themeColor="text1" w:themeTint="F2"/>
        </w:rPr>
        <w:t>pun</w:t>
      </w:r>
      <w:r w:rsidR="000F7C1E" w:rsidRPr="00C400D3">
        <w:rPr>
          <w:color w:val="0D0D0D" w:themeColor="text1" w:themeTint="F2"/>
        </w:rPr>
        <w:t>ë</w:t>
      </w:r>
      <w:r w:rsidRPr="00C400D3">
        <w:rPr>
          <w:color w:val="0D0D0D" w:themeColor="text1" w:themeTint="F2"/>
        </w:rPr>
        <w:t>n</w:t>
      </w:r>
      <w:proofErr w:type="spellEnd"/>
      <w:r w:rsidRPr="00C400D3">
        <w:rPr>
          <w:color w:val="0D0D0D" w:themeColor="text1" w:themeTint="F2"/>
        </w:rPr>
        <w:t xml:space="preserve"> e </w:t>
      </w:r>
      <w:proofErr w:type="spellStart"/>
      <w:r w:rsidRPr="00C400D3">
        <w:rPr>
          <w:color w:val="0D0D0D" w:themeColor="text1" w:themeTint="F2"/>
        </w:rPr>
        <w:t>Institucioneve</w:t>
      </w:r>
      <w:proofErr w:type="spellEnd"/>
      <w:r w:rsidRPr="00C400D3">
        <w:rPr>
          <w:color w:val="0D0D0D" w:themeColor="text1" w:themeTint="F2"/>
        </w:rPr>
        <w:t xml:space="preserve"> </w:t>
      </w:r>
      <w:proofErr w:type="spellStart"/>
      <w:r w:rsidRPr="00C400D3">
        <w:rPr>
          <w:color w:val="0D0D0D" w:themeColor="text1" w:themeTint="F2"/>
        </w:rPr>
        <w:t>p</w:t>
      </w:r>
      <w:r w:rsidR="000F7C1E" w:rsidRPr="00C400D3">
        <w:rPr>
          <w:color w:val="0D0D0D" w:themeColor="text1" w:themeTint="F2"/>
        </w:rPr>
        <w:t>ë</w:t>
      </w:r>
      <w:r w:rsidRPr="00C400D3">
        <w:rPr>
          <w:color w:val="0D0D0D" w:themeColor="text1" w:themeTint="F2"/>
        </w:rPr>
        <w:t>r</w:t>
      </w:r>
      <w:proofErr w:type="spellEnd"/>
      <w:r w:rsidRPr="00C400D3">
        <w:rPr>
          <w:color w:val="0D0D0D" w:themeColor="text1" w:themeTint="F2"/>
        </w:rPr>
        <w:t xml:space="preserve"> </w:t>
      </w:r>
      <w:proofErr w:type="spellStart"/>
      <w:r w:rsidRPr="00C400D3">
        <w:rPr>
          <w:color w:val="0D0D0D" w:themeColor="text1" w:themeTint="F2"/>
        </w:rPr>
        <w:t>p</w:t>
      </w:r>
      <w:r w:rsidR="000F7C1E" w:rsidRPr="00C400D3">
        <w:rPr>
          <w:color w:val="0D0D0D" w:themeColor="text1" w:themeTint="F2"/>
        </w:rPr>
        <w:t>ë</w:t>
      </w:r>
      <w:r w:rsidRPr="00C400D3">
        <w:rPr>
          <w:color w:val="0D0D0D" w:themeColor="text1" w:themeTint="F2"/>
        </w:rPr>
        <w:t>rgatitjen</w:t>
      </w:r>
      <w:proofErr w:type="spellEnd"/>
      <w:r w:rsidRPr="00C400D3">
        <w:rPr>
          <w:color w:val="0D0D0D" w:themeColor="text1" w:themeTint="F2"/>
        </w:rPr>
        <w:t xml:space="preserve"> e </w:t>
      </w:r>
      <w:proofErr w:type="spellStart"/>
      <w:r w:rsidRPr="00C400D3">
        <w:rPr>
          <w:color w:val="0D0D0D" w:themeColor="text1" w:themeTint="F2"/>
        </w:rPr>
        <w:t>Programit</w:t>
      </w:r>
      <w:proofErr w:type="spellEnd"/>
      <w:r w:rsidRPr="00C400D3">
        <w:rPr>
          <w:color w:val="0D0D0D" w:themeColor="text1" w:themeTint="F2"/>
        </w:rPr>
        <w:t xml:space="preserve"> </w:t>
      </w:r>
      <w:proofErr w:type="spellStart"/>
      <w:r w:rsidRPr="00C400D3">
        <w:rPr>
          <w:color w:val="0D0D0D" w:themeColor="text1" w:themeTint="F2"/>
        </w:rPr>
        <w:t>Buxhetor</w:t>
      </w:r>
      <w:proofErr w:type="spellEnd"/>
      <w:r w:rsidRPr="00C400D3">
        <w:rPr>
          <w:color w:val="0D0D0D" w:themeColor="text1" w:themeTint="F2"/>
        </w:rPr>
        <w:t xml:space="preserve"> </w:t>
      </w:r>
      <w:proofErr w:type="spellStart"/>
      <w:r w:rsidRPr="00C400D3">
        <w:rPr>
          <w:color w:val="0D0D0D" w:themeColor="text1" w:themeTint="F2"/>
        </w:rPr>
        <w:t>Afatmes</w:t>
      </w:r>
      <w:r w:rsidR="008C1D0F" w:rsidRPr="00C400D3">
        <w:rPr>
          <w:color w:val="0D0D0D" w:themeColor="text1" w:themeTint="F2"/>
        </w:rPr>
        <w:t>ë</w:t>
      </w:r>
      <w:r w:rsidRPr="00C400D3">
        <w:rPr>
          <w:color w:val="0D0D0D" w:themeColor="text1" w:themeTint="F2"/>
        </w:rPr>
        <w:t>m</w:t>
      </w:r>
      <w:proofErr w:type="spellEnd"/>
      <w:r w:rsidR="001038A8" w:rsidRPr="00C400D3">
        <w:rPr>
          <w:color w:val="0D0D0D" w:themeColor="text1" w:themeTint="F2"/>
        </w:rPr>
        <w:t xml:space="preserve">, </w:t>
      </w:r>
      <w:proofErr w:type="spellStart"/>
      <w:r w:rsidR="008C1D0F" w:rsidRPr="00C400D3">
        <w:rPr>
          <w:color w:val="0D0D0D" w:themeColor="text1" w:themeTint="F2"/>
        </w:rPr>
        <w:t>por</w:t>
      </w:r>
      <w:proofErr w:type="spellEnd"/>
      <w:r w:rsidR="008C1D0F" w:rsidRPr="00C400D3">
        <w:rPr>
          <w:color w:val="0D0D0D" w:themeColor="text1" w:themeTint="F2"/>
        </w:rPr>
        <w:t xml:space="preserve"> </w:t>
      </w:r>
      <w:proofErr w:type="spellStart"/>
      <w:r w:rsidR="00AA1988">
        <w:rPr>
          <w:color w:val="0D0D0D" w:themeColor="text1" w:themeTint="F2"/>
        </w:rPr>
        <w:t>në</w:t>
      </w:r>
      <w:proofErr w:type="spellEnd"/>
      <w:r w:rsidR="001038A8" w:rsidRPr="00C400D3">
        <w:rPr>
          <w:color w:val="0D0D0D" w:themeColor="text1" w:themeTint="F2"/>
        </w:rPr>
        <w:t xml:space="preserve"> </w:t>
      </w:r>
      <w:proofErr w:type="spellStart"/>
      <w:r w:rsidR="001038A8" w:rsidRPr="00C400D3">
        <w:rPr>
          <w:color w:val="0D0D0D" w:themeColor="text1" w:themeTint="F2"/>
        </w:rPr>
        <w:t>respekt</w:t>
      </w:r>
      <w:r w:rsidR="000F7C1E" w:rsidRPr="00C400D3">
        <w:rPr>
          <w:color w:val="0D0D0D" w:themeColor="text1" w:themeTint="F2"/>
        </w:rPr>
        <w:t>im</w:t>
      </w:r>
      <w:proofErr w:type="spellEnd"/>
      <w:r w:rsidR="000F7C1E" w:rsidRPr="00C400D3">
        <w:rPr>
          <w:color w:val="0D0D0D" w:themeColor="text1" w:themeTint="F2"/>
        </w:rPr>
        <w:t xml:space="preserve"> </w:t>
      </w:r>
      <w:proofErr w:type="spellStart"/>
      <w:r w:rsidR="000F7C1E" w:rsidRPr="00C400D3">
        <w:rPr>
          <w:color w:val="0D0D0D" w:themeColor="text1" w:themeTint="F2"/>
        </w:rPr>
        <w:t>të</w:t>
      </w:r>
      <w:proofErr w:type="spellEnd"/>
      <w:r w:rsidR="001038A8" w:rsidRPr="00C400D3">
        <w:rPr>
          <w:color w:val="0D0D0D" w:themeColor="text1" w:themeTint="F2"/>
        </w:rPr>
        <w:t xml:space="preserve"> </w:t>
      </w:r>
      <w:proofErr w:type="spellStart"/>
      <w:r w:rsidR="001038A8" w:rsidRPr="00C400D3">
        <w:rPr>
          <w:color w:val="0D0D0D" w:themeColor="text1" w:themeTint="F2"/>
        </w:rPr>
        <w:t>l</w:t>
      </w:r>
      <w:r w:rsidR="006C5ED0" w:rsidRPr="00C400D3">
        <w:rPr>
          <w:color w:val="0D0D0D" w:themeColor="text1" w:themeTint="F2"/>
        </w:rPr>
        <w:t>egjislacionit</w:t>
      </w:r>
      <w:proofErr w:type="spellEnd"/>
      <w:r w:rsidR="006C5ED0" w:rsidRPr="00C400D3">
        <w:rPr>
          <w:color w:val="0D0D0D" w:themeColor="text1" w:themeTint="F2"/>
        </w:rPr>
        <w:t xml:space="preserve"> </w:t>
      </w:r>
      <w:proofErr w:type="spellStart"/>
      <w:r w:rsidR="001038A8" w:rsidRPr="00C400D3">
        <w:rPr>
          <w:color w:val="0D0D0D" w:themeColor="text1" w:themeTint="F2"/>
        </w:rPr>
        <w:t>mbi</w:t>
      </w:r>
      <w:proofErr w:type="spellEnd"/>
      <w:r w:rsidR="001038A8" w:rsidRPr="00C400D3">
        <w:rPr>
          <w:color w:val="0D0D0D" w:themeColor="text1" w:themeTint="F2"/>
        </w:rPr>
        <w:t xml:space="preserve"> </w:t>
      </w:r>
      <w:proofErr w:type="spellStart"/>
      <w:r w:rsidR="001038A8" w:rsidRPr="00C400D3">
        <w:rPr>
          <w:color w:val="0D0D0D" w:themeColor="text1" w:themeTint="F2"/>
        </w:rPr>
        <w:t>mbrojtjen</w:t>
      </w:r>
      <w:proofErr w:type="spellEnd"/>
      <w:r w:rsidR="001038A8" w:rsidRPr="00C400D3">
        <w:rPr>
          <w:color w:val="0D0D0D" w:themeColor="text1" w:themeTint="F2"/>
        </w:rPr>
        <w:t xml:space="preserve"> e </w:t>
      </w:r>
      <w:proofErr w:type="spellStart"/>
      <w:r w:rsidR="001038A8" w:rsidRPr="00C400D3">
        <w:rPr>
          <w:color w:val="0D0D0D" w:themeColor="text1" w:themeTint="F2"/>
        </w:rPr>
        <w:t>priva</w:t>
      </w:r>
      <w:r w:rsidR="006C5ED0" w:rsidRPr="00C400D3">
        <w:rPr>
          <w:color w:val="0D0D0D" w:themeColor="text1" w:themeTint="F2"/>
        </w:rPr>
        <w:t>t</w:t>
      </w:r>
      <w:r w:rsidR="000F7C1E" w:rsidRPr="00C400D3">
        <w:rPr>
          <w:color w:val="0D0D0D" w:themeColor="text1" w:themeTint="F2"/>
        </w:rPr>
        <w:t>ë</w:t>
      </w:r>
      <w:r w:rsidR="001038A8" w:rsidRPr="00C400D3">
        <w:rPr>
          <w:color w:val="0D0D0D" w:themeColor="text1" w:themeTint="F2"/>
        </w:rPr>
        <w:t>sis</w:t>
      </w:r>
      <w:r w:rsidR="000F7C1E" w:rsidRPr="00C400D3">
        <w:rPr>
          <w:color w:val="0D0D0D" w:themeColor="text1" w:themeTint="F2"/>
        </w:rPr>
        <w:t>ë</w:t>
      </w:r>
      <w:proofErr w:type="spellEnd"/>
      <w:r w:rsidR="001038A8" w:rsidRPr="00C400D3">
        <w:rPr>
          <w:color w:val="0D0D0D" w:themeColor="text1" w:themeTint="F2"/>
        </w:rPr>
        <w:t xml:space="preserve"> </w:t>
      </w:r>
      <w:proofErr w:type="spellStart"/>
      <w:r w:rsidR="001038A8" w:rsidRPr="00C400D3">
        <w:rPr>
          <w:color w:val="0D0D0D" w:themeColor="text1" w:themeTint="F2"/>
        </w:rPr>
        <w:t>s</w:t>
      </w:r>
      <w:r w:rsidR="000F7C1E" w:rsidRPr="00C400D3">
        <w:rPr>
          <w:color w:val="0D0D0D" w:themeColor="text1" w:themeTint="F2"/>
        </w:rPr>
        <w:t>ë</w:t>
      </w:r>
      <w:proofErr w:type="spellEnd"/>
      <w:r w:rsidR="001038A8" w:rsidRPr="00C400D3">
        <w:rPr>
          <w:color w:val="0D0D0D" w:themeColor="text1" w:themeTint="F2"/>
        </w:rPr>
        <w:t xml:space="preserve"> </w:t>
      </w:r>
      <w:proofErr w:type="spellStart"/>
      <w:r w:rsidR="001038A8" w:rsidRPr="00C400D3">
        <w:rPr>
          <w:color w:val="0D0D0D" w:themeColor="text1" w:themeTint="F2"/>
        </w:rPr>
        <w:t>individi</w:t>
      </w:r>
      <w:r w:rsidR="006C5ED0" w:rsidRPr="00C400D3">
        <w:rPr>
          <w:color w:val="0D0D0D" w:themeColor="text1" w:themeTint="F2"/>
        </w:rPr>
        <w:t>t</w:t>
      </w:r>
      <w:proofErr w:type="spellEnd"/>
      <w:r w:rsidR="000F7C1E" w:rsidRPr="00C400D3">
        <w:rPr>
          <w:color w:val="0D0D0D" w:themeColor="text1" w:themeTint="F2"/>
        </w:rPr>
        <w:t>,</w:t>
      </w:r>
      <w:r w:rsidR="001038A8" w:rsidRPr="00C400D3">
        <w:rPr>
          <w:color w:val="0D0D0D" w:themeColor="text1" w:themeTint="F2"/>
        </w:rPr>
        <w:t xml:space="preserve"> </w:t>
      </w:r>
      <w:proofErr w:type="spellStart"/>
      <w:r w:rsidR="00AA1988">
        <w:rPr>
          <w:color w:val="0D0D0D" w:themeColor="text1" w:themeTint="F2"/>
        </w:rPr>
        <w:t>konkretisht</w:t>
      </w:r>
      <w:proofErr w:type="spellEnd"/>
      <w:r w:rsidR="00AA1988">
        <w:rPr>
          <w:color w:val="0D0D0D" w:themeColor="text1" w:themeTint="F2"/>
        </w:rPr>
        <w:t xml:space="preserve"> </w:t>
      </w:r>
      <w:proofErr w:type="spellStart"/>
      <w:r w:rsidR="00AA1988">
        <w:rPr>
          <w:color w:val="0D0D0D" w:themeColor="text1" w:themeTint="F2"/>
        </w:rPr>
        <w:t>për</w:t>
      </w:r>
      <w:proofErr w:type="spellEnd"/>
      <w:r w:rsidR="001038A8" w:rsidRPr="00C400D3">
        <w:rPr>
          <w:color w:val="0D0D0D" w:themeColor="text1" w:themeTint="F2"/>
        </w:rPr>
        <w:t xml:space="preserve"> </w:t>
      </w:r>
      <w:proofErr w:type="spellStart"/>
      <w:r w:rsidR="001038A8" w:rsidRPr="00C400D3">
        <w:rPr>
          <w:color w:val="0D0D0D" w:themeColor="text1" w:themeTint="F2"/>
        </w:rPr>
        <w:t>m</w:t>
      </w:r>
      <w:r w:rsidR="000F7C1E" w:rsidRPr="00C400D3">
        <w:rPr>
          <w:color w:val="0D0D0D" w:themeColor="text1" w:themeTint="F2"/>
        </w:rPr>
        <w:t>ë</w:t>
      </w:r>
      <w:r w:rsidR="001038A8" w:rsidRPr="00C400D3">
        <w:rPr>
          <w:color w:val="0D0D0D" w:themeColor="text1" w:themeTint="F2"/>
        </w:rPr>
        <w:t>nyr</w:t>
      </w:r>
      <w:r w:rsidR="000F7C1E" w:rsidRPr="00C400D3">
        <w:rPr>
          <w:color w:val="0D0D0D" w:themeColor="text1" w:themeTint="F2"/>
        </w:rPr>
        <w:t>ë</w:t>
      </w:r>
      <w:r w:rsidR="001038A8" w:rsidRPr="00C400D3">
        <w:rPr>
          <w:color w:val="0D0D0D" w:themeColor="text1" w:themeTint="F2"/>
        </w:rPr>
        <w:t>n</w:t>
      </w:r>
      <w:proofErr w:type="spellEnd"/>
      <w:r w:rsidR="001038A8" w:rsidRPr="00C400D3">
        <w:rPr>
          <w:color w:val="0D0D0D" w:themeColor="text1" w:themeTint="F2"/>
        </w:rPr>
        <w:t xml:space="preserve"> e </w:t>
      </w:r>
      <w:proofErr w:type="spellStart"/>
      <w:r w:rsidR="001038A8" w:rsidRPr="00C400D3">
        <w:rPr>
          <w:color w:val="0D0D0D" w:themeColor="text1" w:themeTint="F2"/>
        </w:rPr>
        <w:t>aksesimit</w:t>
      </w:r>
      <w:proofErr w:type="spellEnd"/>
      <w:r w:rsidR="001038A8" w:rsidRPr="00C400D3">
        <w:rPr>
          <w:color w:val="0D0D0D" w:themeColor="text1" w:themeTint="F2"/>
        </w:rPr>
        <w:t xml:space="preserve"> </w:t>
      </w:r>
      <w:proofErr w:type="spellStart"/>
      <w:r w:rsidR="001038A8" w:rsidRPr="00C400D3">
        <w:rPr>
          <w:color w:val="0D0D0D" w:themeColor="text1" w:themeTint="F2"/>
        </w:rPr>
        <w:t>n</w:t>
      </w:r>
      <w:r w:rsidR="000F7C1E" w:rsidRPr="00C400D3">
        <w:rPr>
          <w:color w:val="0D0D0D" w:themeColor="text1" w:themeTint="F2"/>
        </w:rPr>
        <w:t>ë</w:t>
      </w:r>
      <w:proofErr w:type="spellEnd"/>
      <w:r w:rsidR="001038A8" w:rsidRPr="00C400D3">
        <w:rPr>
          <w:color w:val="0D0D0D" w:themeColor="text1" w:themeTint="F2"/>
        </w:rPr>
        <w:t xml:space="preserve"> </w:t>
      </w:r>
      <w:proofErr w:type="spellStart"/>
      <w:r w:rsidR="001038A8" w:rsidRPr="00C400D3">
        <w:rPr>
          <w:color w:val="0D0D0D" w:themeColor="text1" w:themeTint="F2"/>
        </w:rPr>
        <w:t>k</w:t>
      </w:r>
      <w:r w:rsidR="000F7C1E" w:rsidRPr="00C400D3">
        <w:rPr>
          <w:color w:val="0D0D0D" w:themeColor="text1" w:themeTint="F2"/>
        </w:rPr>
        <w:t>ë</w:t>
      </w:r>
      <w:r w:rsidR="001038A8" w:rsidRPr="00C400D3">
        <w:rPr>
          <w:color w:val="0D0D0D" w:themeColor="text1" w:themeTint="F2"/>
        </w:rPr>
        <w:t>t</w:t>
      </w:r>
      <w:r w:rsidR="000F7C1E" w:rsidRPr="00C400D3">
        <w:rPr>
          <w:color w:val="0D0D0D" w:themeColor="text1" w:themeTint="F2"/>
        </w:rPr>
        <w:t>ë</w:t>
      </w:r>
      <w:proofErr w:type="spellEnd"/>
      <w:r w:rsidR="001038A8" w:rsidRPr="00C400D3">
        <w:rPr>
          <w:color w:val="0D0D0D" w:themeColor="text1" w:themeTint="F2"/>
        </w:rPr>
        <w:t xml:space="preserve"> </w:t>
      </w:r>
      <w:proofErr w:type="spellStart"/>
      <w:r w:rsidR="001038A8" w:rsidRPr="00C400D3">
        <w:rPr>
          <w:color w:val="0D0D0D" w:themeColor="text1" w:themeTint="F2"/>
        </w:rPr>
        <w:t>s</w:t>
      </w:r>
      <w:r w:rsidR="000F7C1E" w:rsidRPr="00C400D3">
        <w:rPr>
          <w:color w:val="0D0D0D" w:themeColor="text1" w:themeTint="F2"/>
        </w:rPr>
        <w:t>i</w:t>
      </w:r>
      <w:r w:rsidR="001038A8" w:rsidRPr="00C400D3">
        <w:rPr>
          <w:color w:val="0D0D0D" w:themeColor="text1" w:themeTint="F2"/>
        </w:rPr>
        <w:t>stem</w:t>
      </w:r>
      <w:proofErr w:type="spellEnd"/>
      <w:r w:rsidR="001038A8" w:rsidRPr="00C400D3">
        <w:rPr>
          <w:color w:val="0D0D0D" w:themeColor="text1" w:themeTint="F2"/>
        </w:rPr>
        <w:t>.</w:t>
      </w:r>
      <w:r w:rsidR="001038A8" w:rsidRPr="006C5ED0">
        <w:rPr>
          <w:color w:val="0D0D0D" w:themeColor="text1" w:themeTint="F2"/>
          <w:sz w:val="44"/>
          <w:szCs w:val="44"/>
        </w:rPr>
        <w:t xml:space="preserve"> </w:t>
      </w:r>
    </w:p>
    <w:p w:rsidR="00DD3A37" w:rsidRPr="00C400D3" w:rsidRDefault="000F7C1E" w:rsidP="00075913">
      <w:pPr>
        <w:pStyle w:val="BodyText"/>
        <w:spacing w:after="0" w:line="276" w:lineRule="auto"/>
        <w:jc w:val="both"/>
        <w:rPr>
          <w:color w:val="0D0D0D" w:themeColor="text1" w:themeTint="F2"/>
        </w:rPr>
      </w:pPr>
      <w:r w:rsidRPr="00C400D3">
        <w:rPr>
          <w:color w:val="0D0D0D" w:themeColor="text1" w:themeTint="F2"/>
        </w:rPr>
        <w:t xml:space="preserve">Produkti i vetëm i Programit 0110, është </w:t>
      </w:r>
      <w:r w:rsidRPr="00C400D3">
        <w:rPr>
          <w:b/>
          <w:color w:val="0D0D0D" w:themeColor="text1" w:themeTint="F2"/>
        </w:rPr>
        <w:t>Mbikëqyrje/inspektime të kryera &amp; ankesa</w:t>
      </w:r>
      <w:r w:rsidR="00E07A12" w:rsidRPr="00C400D3">
        <w:rPr>
          <w:b/>
          <w:color w:val="0D0D0D" w:themeColor="text1" w:themeTint="F2"/>
        </w:rPr>
        <w:t xml:space="preserve"> të trajtuara,</w:t>
      </w:r>
      <w:r w:rsidR="00E07A12" w:rsidRPr="00C400D3">
        <w:rPr>
          <w:color w:val="0D0D0D" w:themeColor="text1" w:themeTint="F2"/>
        </w:rPr>
        <w:t xml:space="preserve"> ku parashikimi (</w:t>
      </w:r>
      <w:r w:rsidR="00AA1988">
        <w:rPr>
          <w:color w:val="0D0D0D" w:themeColor="text1" w:themeTint="F2"/>
        </w:rPr>
        <w:t xml:space="preserve">i ndryshuar) është </w:t>
      </w:r>
      <w:r w:rsidRPr="00C400D3">
        <w:rPr>
          <w:color w:val="0D0D0D" w:themeColor="text1" w:themeTint="F2"/>
        </w:rPr>
        <w:t>nr.1200 veprime.</w:t>
      </w:r>
    </w:p>
    <w:p w:rsidR="00BC2353" w:rsidRPr="00C400D3" w:rsidRDefault="00BC2353" w:rsidP="00075913">
      <w:pPr>
        <w:pStyle w:val="BodyText"/>
        <w:spacing w:after="0" w:line="276" w:lineRule="auto"/>
        <w:jc w:val="both"/>
      </w:pPr>
      <w:r w:rsidRPr="00C400D3">
        <w:t xml:space="preserve">Në këtë produkt janë përfshirë disa aktivitete dhe nënprodukte në të dy shtyllat kryesore </w:t>
      </w:r>
    </w:p>
    <w:p w:rsidR="00A708BD" w:rsidRPr="008C1D0F" w:rsidRDefault="00A708BD" w:rsidP="00F52608">
      <w:pPr>
        <w:spacing w:line="276" w:lineRule="auto"/>
        <w:jc w:val="both"/>
      </w:pPr>
    </w:p>
    <w:p w:rsidR="00CA3D5C" w:rsidRPr="008C1D0F" w:rsidRDefault="00CA3D5C" w:rsidP="00CA3D5C">
      <w:pPr>
        <w:pStyle w:val="BodyText"/>
        <w:spacing w:after="0" w:line="276" w:lineRule="auto"/>
        <w:jc w:val="both"/>
        <w:rPr>
          <w:b/>
        </w:rPr>
      </w:pPr>
      <w:r w:rsidRPr="008C1D0F">
        <w:rPr>
          <w:b/>
        </w:rPr>
        <w:t xml:space="preserve">E drejta e informimit : </w:t>
      </w:r>
    </w:p>
    <w:p w:rsidR="00CA3D5C" w:rsidRPr="008C1D0F" w:rsidRDefault="00CA3D5C" w:rsidP="00CA3D5C">
      <w:pPr>
        <w:pStyle w:val="BodyText"/>
        <w:spacing w:after="0" w:line="276" w:lineRule="auto"/>
        <w:jc w:val="both"/>
      </w:pPr>
    </w:p>
    <w:p w:rsidR="00CA3D5C" w:rsidRPr="008C1D0F" w:rsidRDefault="00CA3D5C" w:rsidP="0082582B">
      <w:pPr>
        <w:pStyle w:val="ListParagraph"/>
        <w:numPr>
          <w:ilvl w:val="0"/>
          <w:numId w:val="4"/>
        </w:numPr>
        <w:jc w:val="both"/>
        <w:rPr>
          <w:rFonts w:ascii="Times New Roman" w:hAnsi="Times New Roman"/>
          <w:b/>
          <w:sz w:val="24"/>
          <w:szCs w:val="24"/>
        </w:rPr>
      </w:pPr>
      <w:r w:rsidRPr="008C1D0F">
        <w:rPr>
          <w:rFonts w:ascii="Times New Roman" w:hAnsi="Times New Roman"/>
          <w:b/>
          <w:sz w:val="24"/>
          <w:szCs w:val="24"/>
        </w:rPr>
        <w:t>Autoritetet Publike me programe dhe transparencë të plotë</w:t>
      </w:r>
    </w:p>
    <w:p w:rsidR="00CA3D5C" w:rsidRPr="008C1D0F" w:rsidRDefault="00CA3D5C" w:rsidP="00CA3D5C">
      <w:pPr>
        <w:spacing w:line="276" w:lineRule="auto"/>
        <w:jc w:val="both"/>
        <w:rPr>
          <w:rFonts w:eastAsia="Calibri"/>
        </w:rPr>
      </w:pPr>
      <w:r w:rsidRPr="008C1D0F">
        <w:t xml:space="preserve">Sigurimi i Transparencës së veprimtarisë së Autoriteteve Publike, nëpërmjet realizimit të proceseve të monitorimit/mbikëqyrjes së elementëve të ndryshëm të zbatimit të ligjit për </w:t>
      </w:r>
      <w:r w:rsidR="002C4ED1" w:rsidRPr="008C1D0F">
        <w:t>të drejtën e informimit, të auto</w:t>
      </w:r>
      <w:r w:rsidRPr="008C1D0F">
        <w:t>riteteve publike</w:t>
      </w:r>
      <w:r w:rsidRPr="008C1D0F">
        <w:rPr>
          <w:rFonts w:eastAsia="Calibri"/>
        </w:rPr>
        <w:t>, të cilat kanë hartuar dhe/ose përditësuar programin e transparencës, forcimin e rolit të koordinatorit për të drejtën e informimit, përditësimi</w:t>
      </w:r>
      <w:r w:rsidR="002C4ED1" w:rsidRPr="008C1D0F">
        <w:rPr>
          <w:rFonts w:eastAsia="Calibri"/>
        </w:rPr>
        <w:t xml:space="preserve"> në regjistrin</w:t>
      </w:r>
      <w:r w:rsidRPr="008C1D0F">
        <w:rPr>
          <w:rFonts w:eastAsia="Calibri"/>
        </w:rPr>
        <w:t xml:space="preserve"> të kërkesave dhe përgjigjeve, shqyrtimin</w:t>
      </w:r>
      <w:r w:rsidR="002C4ED1" w:rsidRPr="008C1D0F">
        <w:rPr>
          <w:rFonts w:eastAsia="Calibri"/>
        </w:rPr>
        <w:t xml:space="preserve"> </w:t>
      </w:r>
      <w:r w:rsidRPr="008C1D0F">
        <w:rPr>
          <w:rFonts w:eastAsia="Calibri"/>
        </w:rPr>
        <w:t>e ankesave, kryerjen</w:t>
      </w:r>
      <w:r w:rsidR="002C4ED1" w:rsidRPr="008C1D0F">
        <w:rPr>
          <w:rFonts w:eastAsia="Calibri"/>
        </w:rPr>
        <w:t xml:space="preserve"> </w:t>
      </w:r>
      <w:r w:rsidRPr="008C1D0F">
        <w:rPr>
          <w:rFonts w:eastAsia="Calibri"/>
        </w:rPr>
        <w:t xml:space="preserve">e hetimeve administrative, seancave dëgjimore dhe dhënien e rekomandimeve e vendimeve. </w:t>
      </w:r>
    </w:p>
    <w:p w:rsidR="00CA3D5C" w:rsidRPr="008C1D0F" w:rsidRDefault="00CA3D5C" w:rsidP="00CA3D5C">
      <w:pPr>
        <w:spacing w:line="276" w:lineRule="auto"/>
        <w:jc w:val="both"/>
      </w:pPr>
    </w:p>
    <w:p w:rsidR="00CA3D5C" w:rsidRPr="008C1D0F" w:rsidRDefault="00CA3D5C" w:rsidP="0082582B">
      <w:pPr>
        <w:pStyle w:val="ListParagraph"/>
        <w:numPr>
          <w:ilvl w:val="0"/>
          <w:numId w:val="4"/>
        </w:numPr>
        <w:spacing w:after="160"/>
        <w:jc w:val="both"/>
        <w:rPr>
          <w:rFonts w:ascii="Times New Roman" w:hAnsi="Times New Roman"/>
          <w:sz w:val="24"/>
          <w:szCs w:val="24"/>
        </w:rPr>
      </w:pPr>
      <w:r w:rsidRPr="008C1D0F">
        <w:rPr>
          <w:rFonts w:ascii="Times New Roman" w:hAnsi="Times New Roman"/>
          <w:b/>
          <w:sz w:val="24"/>
          <w:szCs w:val="24"/>
        </w:rPr>
        <w:t>Trajtim i ankesave brenda</w:t>
      </w:r>
      <w:r w:rsidRPr="008C1D0F">
        <w:rPr>
          <w:rFonts w:ascii="Times New Roman" w:hAnsi="Times New Roman"/>
          <w:sz w:val="24"/>
          <w:szCs w:val="24"/>
        </w:rPr>
        <w:t xml:space="preserve"> afateve dhe (kthim përgjigje/inspektime/vendime, kryesisht në bazë të ankesave).</w:t>
      </w:r>
    </w:p>
    <w:p w:rsidR="00CA3D5C" w:rsidRPr="008C1D0F" w:rsidRDefault="00CA3D5C" w:rsidP="00CA3D5C">
      <w:pPr>
        <w:spacing w:after="160" w:line="276" w:lineRule="auto"/>
        <w:jc w:val="both"/>
      </w:pPr>
      <w:r w:rsidRPr="008C1D0F">
        <w:t>Ankesa të trajtuara në kuadër të parashikimeve të Ligjit “Për të Drejtën e Informimit” si dhe Ligjit “Për njoft</w:t>
      </w:r>
      <w:r w:rsidR="00A21D52">
        <w:t>i</w:t>
      </w:r>
      <w:r w:rsidRPr="008C1D0F">
        <w:t>min dhe konsultimin publik”, hetime të kryera, seanca dëgjimore të zhvilluara si dhe vendime të dhëna, duke rritur në këtë mënyrë kontrollin mbi veprimtarinë e administratës publike, garantimi i të drejtave të qytetarëve dhe aksesi në informacion.</w:t>
      </w:r>
    </w:p>
    <w:p w:rsidR="00CA3D5C" w:rsidRPr="008C1D0F" w:rsidRDefault="00CA3D5C" w:rsidP="00CA3D5C">
      <w:pPr>
        <w:spacing w:line="276" w:lineRule="auto"/>
        <w:jc w:val="both"/>
        <w:rPr>
          <w:b/>
        </w:rPr>
      </w:pPr>
      <w:r w:rsidRPr="008C1D0F">
        <w:rPr>
          <w:b/>
        </w:rPr>
        <w:t xml:space="preserve">Mbrojtja e të dhënave personale </w:t>
      </w:r>
    </w:p>
    <w:p w:rsidR="00CA3D5C" w:rsidRPr="008C1D0F" w:rsidRDefault="00CA3D5C" w:rsidP="00CA3D5C">
      <w:pPr>
        <w:pStyle w:val="BodyText"/>
        <w:spacing w:after="0" w:line="276" w:lineRule="auto"/>
        <w:jc w:val="both"/>
      </w:pPr>
    </w:p>
    <w:p w:rsidR="00CA3D5C" w:rsidRPr="008C1D0F" w:rsidRDefault="00CA3D5C" w:rsidP="0082582B">
      <w:pPr>
        <w:pStyle w:val="BodyText"/>
        <w:numPr>
          <w:ilvl w:val="0"/>
          <w:numId w:val="4"/>
        </w:numPr>
        <w:spacing w:after="0" w:line="276" w:lineRule="auto"/>
        <w:jc w:val="both"/>
        <w:rPr>
          <w:b/>
        </w:rPr>
      </w:pPr>
      <w:r w:rsidRPr="008C1D0F">
        <w:rPr>
          <w:b/>
        </w:rPr>
        <w:t>Mbikëqyrje dhe inspektime.</w:t>
      </w:r>
    </w:p>
    <w:p w:rsidR="00CA3D5C" w:rsidRPr="008C1D0F" w:rsidRDefault="00CA3D5C" w:rsidP="00CA3D5C">
      <w:pPr>
        <w:pStyle w:val="BodyText"/>
        <w:spacing w:after="0" w:line="276" w:lineRule="auto"/>
        <w:ind w:left="720"/>
        <w:jc w:val="both"/>
        <w:rPr>
          <w:b/>
        </w:rPr>
      </w:pPr>
    </w:p>
    <w:p w:rsidR="00CA3D5C" w:rsidRPr="008C1D0F" w:rsidRDefault="00CA3D5C" w:rsidP="00CA3D5C">
      <w:pPr>
        <w:pStyle w:val="BodyText"/>
        <w:spacing w:after="0" w:line="276" w:lineRule="auto"/>
        <w:jc w:val="both"/>
      </w:pPr>
      <w:r w:rsidRPr="008C1D0F">
        <w:t xml:space="preserve">Nëpërmjet procedurave për realizimin e këtij produkti do të bëhet e mundur minimizimi i rrezikut të cënimit të privatësisë dhe mbrojtjes së të dhënave personale; Ndërgjegjësimi dhe disiplinimi i kontrolluesve; Krijimi i praktikës së mirë për kontrolluesit. </w:t>
      </w:r>
    </w:p>
    <w:p w:rsidR="00CA3D5C" w:rsidRPr="008C1D0F" w:rsidRDefault="00CA3D5C" w:rsidP="00CA3D5C">
      <w:pPr>
        <w:pStyle w:val="BodyText"/>
        <w:spacing w:after="0" w:line="276" w:lineRule="auto"/>
        <w:jc w:val="both"/>
      </w:pPr>
    </w:p>
    <w:p w:rsidR="00CA3D5C" w:rsidRPr="008C1D0F" w:rsidRDefault="00CA3D5C" w:rsidP="0082582B">
      <w:pPr>
        <w:pStyle w:val="ListParagraph"/>
        <w:numPr>
          <w:ilvl w:val="0"/>
          <w:numId w:val="4"/>
        </w:numPr>
        <w:jc w:val="both"/>
        <w:rPr>
          <w:rFonts w:ascii="Times New Roman" w:hAnsi="Times New Roman"/>
          <w:b/>
          <w:sz w:val="24"/>
          <w:szCs w:val="24"/>
        </w:rPr>
      </w:pPr>
      <w:r w:rsidRPr="008C1D0F">
        <w:rPr>
          <w:rFonts w:ascii="Times New Roman" w:hAnsi="Times New Roman"/>
          <w:b/>
          <w:sz w:val="24"/>
          <w:szCs w:val="24"/>
        </w:rPr>
        <w:t>Ankesa të trajtuara</w:t>
      </w:r>
    </w:p>
    <w:p w:rsidR="00A708BD" w:rsidRPr="008C1D0F" w:rsidRDefault="00A708BD" w:rsidP="00A708BD">
      <w:pPr>
        <w:pStyle w:val="ListParagraph"/>
        <w:jc w:val="both"/>
        <w:rPr>
          <w:rFonts w:ascii="Times New Roman" w:hAnsi="Times New Roman"/>
          <w:b/>
          <w:sz w:val="24"/>
          <w:szCs w:val="24"/>
        </w:rPr>
      </w:pPr>
    </w:p>
    <w:p w:rsidR="00CA3D5C" w:rsidRPr="008C1D0F" w:rsidRDefault="00CA3D5C" w:rsidP="008C1D0F">
      <w:pPr>
        <w:pStyle w:val="ListParagraph"/>
        <w:spacing w:after="120"/>
        <w:ind w:left="0"/>
        <w:contextualSpacing w:val="0"/>
        <w:jc w:val="both"/>
        <w:rPr>
          <w:rFonts w:ascii="Times New Roman" w:hAnsi="Times New Roman"/>
          <w:bCs/>
          <w:sz w:val="24"/>
          <w:szCs w:val="24"/>
        </w:rPr>
      </w:pPr>
      <w:r w:rsidRPr="008C1D0F">
        <w:rPr>
          <w:rFonts w:ascii="Times New Roman" w:hAnsi="Times New Roman"/>
          <w:sz w:val="24"/>
          <w:szCs w:val="24"/>
        </w:rPr>
        <w:t xml:space="preserve">Trajtimi në kohë i ankesave të ardhura </w:t>
      </w:r>
      <w:r w:rsidRPr="008C1D0F">
        <w:rPr>
          <w:rFonts w:ascii="Times New Roman" w:hAnsi="Times New Roman"/>
          <w:bCs/>
          <w:sz w:val="24"/>
          <w:szCs w:val="24"/>
        </w:rPr>
        <w:t xml:space="preserve">nga subjektet e të dhënave personale, </w:t>
      </w:r>
      <w:r w:rsidRPr="008C1D0F">
        <w:rPr>
          <w:rFonts w:ascii="Times New Roman" w:hAnsi="Times New Roman"/>
          <w:sz w:val="24"/>
          <w:szCs w:val="24"/>
        </w:rPr>
        <w:t>në kuadër të ligjshmërisë së përpunimit të të dhënave personale.</w:t>
      </w:r>
      <w:r w:rsidRPr="008C1D0F">
        <w:rPr>
          <w:rFonts w:ascii="Times New Roman" w:hAnsi="Times New Roman"/>
          <w:bCs/>
          <w:sz w:val="24"/>
          <w:szCs w:val="24"/>
        </w:rPr>
        <w:t xml:space="preserve"> Për zgjidhjen dhe trajtimin e ankesave ndiqen hapa procedurale si kontaktimi i vazhdueshëm me subjektin mbi paraqitjen e provave, kërkesë informacioni paraprake nga kontrolluesi, </w:t>
      </w:r>
      <w:r w:rsidRPr="008C1D0F">
        <w:rPr>
          <w:rFonts w:ascii="Times New Roman" w:hAnsi="Times New Roman"/>
          <w:sz w:val="24"/>
          <w:szCs w:val="24"/>
        </w:rPr>
        <w:t xml:space="preserve">seanca dëgjimore të zhvilluara </w:t>
      </w:r>
      <w:r w:rsidRPr="008C1D0F">
        <w:rPr>
          <w:rFonts w:ascii="Times New Roman" w:hAnsi="Times New Roman"/>
          <w:bCs/>
          <w:sz w:val="24"/>
          <w:szCs w:val="24"/>
        </w:rPr>
        <w:t xml:space="preserve">deri në zgjidhjen përfundimtare </w:t>
      </w:r>
      <w:r w:rsidRPr="008C1D0F">
        <w:rPr>
          <w:rFonts w:ascii="Times New Roman" w:hAnsi="Times New Roman"/>
          <w:sz w:val="24"/>
          <w:szCs w:val="24"/>
        </w:rPr>
        <w:t>dhe vendimet e dhëna, duke rritur në këtë mënyrë kontrollin mbi vepr</w:t>
      </w:r>
      <w:r w:rsidR="00441F14" w:rsidRPr="008C1D0F">
        <w:rPr>
          <w:rFonts w:ascii="Times New Roman" w:hAnsi="Times New Roman"/>
          <w:sz w:val="24"/>
          <w:szCs w:val="24"/>
        </w:rPr>
        <w:t>imtarinë e kontrolluesve publik e privat</w:t>
      </w:r>
      <w:r w:rsidRPr="008C1D0F">
        <w:rPr>
          <w:rFonts w:ascii="Times New Roman" w:hAnsi="Times New Roman"/>
          <w:sz w:val="24"/>
          <w:szCs w:val="24"/>
        </w:rPr>
        <w:t xml:space="preserve"> </w:t>
      </w:r>
    </w:p>
    <w:p w:rsidR="000F7C1E" w:rsidRDefault="00CA3D5C" w:rsidP="00E07A12">
      <w:pPr>
        <w:spacing w:line="276" w:lineRule="auto"/>
        <w:jc w:val="both"/>
      </w:pPr>
      <w:r w:rsidRPr="008C1D0F">
        <w:t xml:space="preserve">Për </w:t>
      </w:r>
      <w:r w:rsidR="001038A8" w:rsidRPr="008C1D0F">
        <w:t>Zyr</w:t>
      </w:r>
      <w:r w:rsidR="000F7C1E" w:rsidRPr="008C1D0F">
        <w:t>ë</w:t>
      </w:r>
      <w:r w:rsidR="001038A8" w:rsidRPr="008C1D0F">
        <w:t xml:space="preserve">n e </w:t>
      </w:r>
      <w:r w:rsidRPr="008C1D0F">
        <w:rPr>
          <w:rFonts w:eastAsia="Batang"/>
        </w:rPr>
        <w:t>Komisioneri</w:t>
      </w:r>
      <w:r w:rsidR="001038A8" w:rsidRPr="008C1D0F">
        <w:rPr>
          <w:rFonts w:eastAsia="Batang"/>
        </w:rPr>
        <w:t>t</w:t>
      </w:r>
      <w:r w:rsidRPr="008C1D0F">
        <w:rPr>
          <w:rFonts w:eastAsia="Batang"/>
        </w:rPr>
        <w:t xml:space="preserve"> </w:t>
      </w:r>
      <w:r w:rsidRPr="008C1D0F">
        <w:t>është miratuar vetëm një program buxhetor</w:t>
      </w:r>
      <w:r w:rsidR="001038A8" w:rsidRPr="008C1D0F">
        <w:t>,  b</w:t>
      </w:r>
      <w:r w:rsidR="00BC2353" w:rsidRPr="008C1D0F">
        <w:t xml:space="preserve">uxheti i </w:t>
      </w:r>
      <w:r w:rsidR="001038A8" w:rsidRPr="008C1D0F">
        <w:t>s</w:t>
      </w:r>
      <w:r w:rsidR="000F7C1E" w:rsidRPr="008C1D0F">
        <w:t>ë</w:t>
      </w:r>
      <w:r w:rsidR="001038A8" w:rsidRPr="008C1D0F">
        <w:t xml:space="preserve"> cil</w:t>
      </w:r>
      <w:r w:rsidR="000F7C1E" w:rsidRPr="008C1D0F">
        <w:t>ë</w:t>
      </w:r>
      <w:r w:rsidR="001038A8" w:rsidRPr="008C1D0F">
        <w:t xml:space="preserve">s </w:t>
      </w:r>
      <w:r w:rsidR="00BC2353" w:rsidRPr="008C1D0F">
        <w:t xml:space="preserve">konsiston në mbështetjen logjistike të ushtrimit të kompetencave e funksioneve të zyrës, në drejtim të </w:t>
      </w:r>
      <w:r w:rsidR="00BC2353" w:rsidRPr="008C1D0F">
        <w:rPr>
          <w:lang w:eastAsia="en-US"/>
        </w:rPr>
        <w:t xml:space="preserve">monitorimit të ligjeve respektive, </w:t>
      </w:r>
      <w:r w:rsidR="00BC2353" w:rsidRPr="008C1D0F">
        <w:t xml:space="preserve">për arritjen e objektivave të përcaktuara për këtë program buxhetor. </w:t>
      </w:r>
    </w:p>
    <w:p w:rsidR="00E07A12" w:rsidRDefault="00E07A12" w:rsidP="00E07A12">
      <w:pPr>
        <w:spacing w:line="276" w:lineRule="auto"/>
        <w:jc w:val="both"/>
      </w:pPr>
    </w:p>
    <w:p w:rsidR="00BC2353" w:rsidRPr="00E07A12" w:rsidRDefault="00E07A12" w:rsidP="00E07A12">
      <w:pPr>
        <w:spacing w:line="276" w:lineRule="auto"/>
        <w:jc w:val="both"/>
      </w:pPr>
      <w:r w:rsidRPr="00B25403">
        <w:t xml:space="preserve">Me ligjin nr. 88/2019 </w:t>
      </w:r>
      <w:r w:rsidRPr="00E82FCC">
        <w:rPr>
          <w:i/>
        </w:rPr>
        <w:t>“</w:t>
      </w:r>
      <w:r>
        <w:rPr>
          <w:i/>
        </w:rPr>
        <w:t>Për buxhetin e s</w:t>
      </w:r>
      <w:r w:rsidRPr="00E82FCC">
        <w:rPr>
          <w:i/>
        </w:rPr>
        <w:t>htetit të vitit</w:t>
      </w:r>
      <w:r>
        <w:rPr>
          <w:i/>
        </w:rPr>
        <w:t xml:space="preserve"> </w:t>
      </w:r>
      <w:r w:rsidRPr="00E82FCC">
        <w:rPr>
          <w:i/>
        </w:rPr>
        <w:t>2020”,</w:t>
      </w:r>
      <w:r w:rsidRPr="00B25403">
        <w:t xml:space="preserve"> fondet e akorduara me ndryshimet gjatë vitit</w:t>
      </w:r>
      <w:r>
        <w:t xml:space="preserve"> </w:t>
      </w:r>
      <w:r w:rsidRPr="00B25403">
        <w:t>për funksionimin e aktiv</w:t>
      </w:r>
      <w:r>
        <w:t xml:space="preserve">itetit të Zyrës se Komisionerit jane </w:t>
      </w:r>
      <w:r w:rsidRPr="00B25403">
        <w:t xml:space="preserve"> në total </w:t>
      </w:r>
      <w:r>
        <w:t xml:space="preserve">në vlerën 66.826 (në mijë lekë), </w:t>
      </w:r>
      <w:r w:rsidR="00605778" w:rsidRPr="008C1D0F">
        <w:rPr>
          <w:rFonts w:eastAsia="Batang"/>
          <w:bCs/>
          <w:color w:val="0D0D0D" w:themeColor="text1" w:themeTint="F2"/>
          <w:lang w:val="pt-BR"/>
        </w:rPr>
        <w:t xml:space="preserve">me </w:t>
      </w:r>
      <w:r w:rsidR="00BC2353" w:rsidRPr="008C1D0F">
        <w:rPr>
          <w:rFonts w:eastAsia="Batang"/>
          <w:bCs/>
          <w:color w:val="0D0D0D" w:themeColor="text1" w:themeTint="F2"/>
          <w:lang w:val="pt-BR"/>
        </w:rPr>
        <w:t>paraqit</w:t>
      </w:r>
      <w:r w:rsidR="00605778" w:rsidRPr="008C1D0F">
        <w:rPr>
          <w:rFonts w:eastAsia="Batang"/>
          <w:bCs/>
          <w:color w:val="0D0D0D" w:themeColor="text1" w:themeTint="F2"/>
          <w:lang w:val="pt-BR"/>
        </w:rPr>
        <w:t>jen strukturore t</w:t>
      </w:r>
      <w:r>
        <w:rPr>
          <w:rFonts w:eastAsia="Batang"/>
          <w:bCs/>
          <w:color w:val="0D0D0D" w:themeColor="text1" w:themeTint="F2"/>
          <w:lang w:val="pt-BR"/>
        </w:rPr>
        <w:t>ë</w:t>
      </w:r>
      <w:r w:rsidR="00BC2353" w:rsidRPr="008C1D0F">
        <w:rPr>
          <w:rFonts w:eastAsia="Batang"/>
          <w:bCs/>
          <w:color w:val="0D0D0D" w:themeColor="text1" w:themeTint="F2"/>
          <w:lang w:val="pt-BR"/>
        </w:rPr>
        <w:t xml:space="preserve"> mëposhtme:</w:t>
      </w:r>
    </w:p>
    <w:p w:rsidR="00A708BD" w:rsidRPr="008C1D0F" w:rsidRDefault="00A708BD" w:rsidP="00BC2353">
      <w:pPr>
        <w:spacing w:line="276" w:lineRule="auto"/>
        <w:contextualSpacing/>
        <w:rPr>
          <w:rFonts w:eastAsia="Batang"/>
          <w:bCs/>
          <w:color w:val="0D0D0D" w:themeColor="text1" w:themeTint="F2"/>
          <w:lang w:val="pt-BR"/>
        </w:rPr>
      </w:pPr>
    </w:p>
    <w:tbl>
      <w:tblPr>
        <w:tblW w:w="8928" w:type="dxa"/>
        <w:tblCellMar>
          <w:left w:w="0" w:type="dxa"/>
          <w:right w:w="0" w:type="dxa"/>
        </w:tblCellMar>
        <w:tblLook w:val="04A0" w:firstRow="1" w:lastRow="0" w:firstColumn="1" w:lastColumn="0" w:noHBand="0" w:noVBand="1"/>
      </w:tblPr>
      <w:tblGrid>
        <w:gridCol w:w="720"/>
        <w:gridCol w:w="4878"/>
        <w:gridCol w:w="3330"/>
      </w:tblGrid>
      <w:tr w:rsidR="00BC2353" w:rsidRPr="008C1D0F" w:rsidTr="007C4AEB">
        <w:trPr>
          <w:trHeight w:val="784"/>
        </w:trPr>
        <w:tc>
          <w:tcPr>
            <w:tcW w:w="720" w:type="dxa"/>
            <w:tcBorders>
              <w:top w:val="single" w:sz="8" w:space="0" w:color="F7CAAC"/>
              <w:left w:val="single" w:sz="8" w:space="0" w:color="F7CAAC"/>
              <w:bottom w:val="single" w:sz="8" w:space="0" w:color="F7CAAC"/>
              <w:right w:val="single" w:sz="8" w:space="0" w:color="F7CAAC"/>
            </w:tcBorders>
            <w:tcMar>
              <w:top w:w="0" w:type="dxa"/>
              <w:left w:w="108" w:type="dxa"/>
              <w:bottom w:w="0" w:type="dxa"/>
              <w:right w:w="108" w:type="dxa"/>
            </w:tcMar>
            <w:hideMark/>
          </w:tcPr>
          <w:p w:rsidR="00BC2353" w:rsidRPr="008C1D0F" w:rsidRDefault="00BC2353" w:rsidP="007C4AEB">
            <w:pPr>
              <w:pStyle w:val="BodyText3"/>
              <w:spacing w:after="0" w:line="276" w:lineRule="auto"/>
              <w:ind w:left="-15" w:firstLine="15"/>
              <w:rPr>
                <w:rFonts w:ascii="Times New Roman" w:hAnsi="Times New Roman"/>
                <w:color w:val="000000"/>
                <w:sz w:val="24"/>
                <w:szCs w:val="24"/>
              </w:rPr>
            </w:pPr>
          </w:p>
          <w:p w:rsidR="00BC2353" w:rsidRPr="008C1D0F" w:rsidRDefault="00BC2353" w:rsidP="007C4AEB">
            <w:pPr>
              <w:pStyle w:val="BodyText3"/>
              <w:spacing w:after="0" w:line="276" w:lineRule="auto"/>
              <w:ind w:left="-15" w:firstLine="15"/>
              <w:rPr>
                <w:rFonts w:ascii="Times New Roman" w:hAnsi="Times New Roman"/>
                <w:color w:val="000000"/>
                <w:sz w:val="24"/>
                <w:szCs w:val="24"/>
              </w:rPr>
            </w:pPr>
            <w:r w:rsidRPr="008C1D0F">
              <w:rPr>
                <w:rFonts w:ascii="Times New Roman" w:hAnsi="Times New Roman"/>
                <w:color w:val="000000"/>
                <w:sz w:val="24"/>
                <w:szCs w:val="24"/>
              </w:rPr>
              <w:t>Nr.</w:t>
            </w:r>
          </w:p>
        </w:tc>
        <w:tc>
          <w:tcPr>
            <w:tcW w:w="4878"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BC2353" w:rsidRPr="008C1D0F" w:rsidRDefault="00BC2353" w:rsidP="007C4AEB">
            <w:pPr>
              <w:pStyle w:val="BodyText3"/>
              <w:spacing w:after="0" w:line="276" w:lineRule="auto"/>
              <w:rPr>
                <w:rFonts w:ascii="Times New Roman" w:hAnsi="Times New Roman"/>
                <w:color w:val="000000"/>
                <w:sz w:val="24"/>
                <w:szCs w:val="24"/>
              </w:rPr>
            </w:pPr>
            <w:r w:rsidRPr="008C1D0F">
              <w:rPr>
                <w:rFonts w:ascii="Times New Roman" w:hAnsi="Times New Roman"/>
                <w:color w:val="000000"/>
                <w:sz w:val="24"/>
                <w:szCs w:val="24"/>
              </w:rPr>
              <w:t>EMËRTIMI</w:t>
            </w:r>
          </w:p>
        </w:tc>
        <w:tc>
          <w:tcPr>
            <w:tcW w:w="3330"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BC2353" w:rsidRPr="008C1D0F" w:rsidRDefault="00BC2353" w:rsidP="007C4AEB">
            <w:pPr>
              <w:autoSpaceDE w:val="0"/>
              <w:autoSpaceDN w:val="0"/>
              <w:adjustRightInd w:val="0"/>
              <w:spacing w:line="276" w:lineRule="auto"/>
              <w:jc w:val="center"/>
              <w:rPr>
                <w:bCs/>
                <w:color w:val="000000"/>
              </w:rPr>
            </w:pPr>
            <w:r w:rsidRPr="008C1D0F">
              <w:rPr>
                <w:color w:val="000000"/>
              </w:rPr>
              <w:t xml:space="preserve">PLANI </w:t>
            </w:r>
            <w:r w:rsidRPr="008C1D0F">
              <w:rPr>
                <w:bCs/>
                <w:color w:val="000000"/>
              </w:rPr>
              <w:t>BUXHETOR 20</w:t>
            </w:r>
            <w:r w:rsidR="009F611F" w:rsidRPr="008C1D0F">
              <w:rPr>
                <w:bCs/>
                <w:color w:val="000000"/>
              </w:rPr>
              <w:t>20</w:t>
            </w:r>
          </w:p>
          <w:p w:rsidR="00BC2353" w:rsidRPr="008C1D0F" w:rsidRDefault="00BC2353" w:rsidP="007C4AEB">
            <w:pPr>
              <w:pStyle w:val="BodyText3"/>
              <w:spacing w:after="0" w:line="276" w:lineRule="auto"/>
              <w:jc w:val="center"/>
              <w:rPr>
                <w:rFonts w:ascii="Times New Roman" w:hAnsi="Times New Roman"/>
                <w:color w:val="000000"/>
                <w:sz w:val="24"/>
                <w:szCs w:val="24"/>
              </w:rPr>
            </w:pPr>
            <w:r w:rsidRPr="008C1D0F">
              <w:rPr>
                <w:rFonts w:ascii="Times New Roman" w:hAnsi="Times New Roman"/>
                <w:b/>
                <w:bCs/>
                <w:color w:val="000000"/>
                <w:sz w:val="24"/>
                <w:szCs w:val="24"/>
              </w:rPr>
              <w:t>(në mijë lekë)</w:t>
            </w:r>
          </w:p>
        </w:tc>
      </w:tr>
      <w:tr w:rsidR="00BC2353" w:rsidRPr="008C1D0F"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color w:val="000000"/>
                <w:sz w:val="24"/>
                <w:szCs w:val="24"/>
              </w:rPr>
            </w:pPr>
            <w:r w:rsidRPr="008C1D0F">
              <w:rPr>
                <w:rFonts w:ascii="Times New Roman" w:hAnsi="Times New Roman"/>
                <w:b/>
                <w:bCs/>
                <w:color w:val="000000"/>
                <w:sz w:val="24"/>
                <w:szCs w:val="24"/>
              </w:rPr>
              <w:t>1</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color w:val="000000"/>
                <w:sz w:val="24"/>
                <w:szCs w:val="24"/>
              </w:rPr>
            </w:pPr>
            <w:r w:rsidRPr="008C1D0F">
              <w:rPr>
                <w:rFonts w:ascii="Times New Roman" w:hAnsi="Times New Roman"/>
                <w:color w:val="000000"/>
                <w:sz w:val="24"/>
                <w:szCs w:val="24"/>
              </w:rPr>
              <w:t>Paga</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spacing w:line="276" w:lineRule="auto"/>
              <w:jc w:val="center"/>
            </w:pPr>
            <w:r w:rsidRPr="008C1D0F">
              <w:t>43.926</w:t>
            </w:r>
          </w:p>
        </w:tc>
      </w:tr>
      <w:tr w:rsidR="00BC2353" w:rsidRPr="008C1D0F"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b/>
                <w:bCs/>
                <w:color w:val="000000"/>
                <w:sz w:val="24"/>
                <w:szCs w:val="24"/>
              </w:rPr>
            </w:pPr>
            <w:r w:rsidRPr="008C1D0F">
              <w:rPr>
                <w:rFonts w:ascii="Times New Roman" w:hAnsi="Times New Roman"/>
                <w:b/>
                <w:bCs/>
                <w:color w:val="000000"/>
                <w:sz w:val="24"/>
                <w:szCs w:val="24"/>
              </w:rPr>
              <w:t>2</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color w:val="000000"/>
                <w:sz w:val="24"/>
                <w:szCs w:val="24"/>
              </w:rPr>
            </w:pPr>
            <w:r w:rsidRPr="008C1D0F">
              <w:rPr>
                <w:rFonts w:ascii="Times New Roman" w:hAnsi="Times New Roman"/>
                <w:color w:val="000000"/>
                <w:sz w:val="24"/>
                <w:szCs w:val="24"/>
              </w:rPr>
              <w:t>Sigurime shoqërore</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BC2353">
            <w:pPr>
              <w:spacing w:line="276" w:lineRule="auto"/>
              <w:jc w:val="center"/>
            </w:pPr>
            <w:r w:rsidRPr="008C1D0F">
              <w:t>6.600</w:t>
            </w:r>
          </w:p>
        </w:tc>
      </w:tr>
      <w:tr w:rsidR="00BC2353" w:rsidRPr="008C1D0F"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b/>
                <w:bCs/>
                <w:color w:val="000000"/>
                <w:sz w:val="24"/>
                <w:szCs w:val="24"/>
              </w:rPr>
            </w:pPr>
            <w:r w:rsidRPr="008C1D0F">
              <w:rPr>
                <w:rFonts w:ascii="Times New Roman" w:hAnsi="Times New Roman"/>
                <w:b/>
                <w:bCs/>
                <w:color w:val="000000"/>
                <w:sz w:val="24"/>
                <w:szCs w:val="24"/>
              </w:rPr>
              <w:t>3</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color w:val="000000"/>
                <w:sz w:val="24"/>
                <w:szCs w:val="24"/>
              </w:rPr>
            </w:pPr>
            <w:r w:rsidRPr="008C1D0F">
              <w:rPr>
                <w:rFonts w:ascii="Times New Roman" w:hAnsi="Times New Roman"/>
                <w:color w:val="000000"/>
                <w:sz w:val="24"/>
                <w:szCs w:val="24"/>
              </w:rPr>
              <w:t>Mallra e shërbime të tjera</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spacing w:line="276" w:lineRule="auto"/>
              <w:jc w:val="center"/>
            </w:pPr>
            <w:r w:rsidRPr="008C1D0F">
              <w:t>14.760</w:t>
            </w:r>
          </w:p>
        </w:tc>
      </w:tr>
      <w:tr w:rsidR="00BC2353" w:rsidRPr="008C1D0F"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b/>
                <w:bCs/>
                <w:color w:val="000000"/>
                <w:sz w:val="24"/>
                <w:szCs w:val="24"/>
              </w:rPr>
            </w:pPr>
            <w:r w:rsidRPr="008C1D0F">
              <w:rPr>
                <w:rFonts w:ascii="Times New Roman" w:hAnsi="Times New Roman"/>
                <w:b/>
                <w:bCs/>
                <w:color w:val="000000"/>
                <w:sz w:val="24"/>
                <w:szCs w:val="24"/>
              </w:rPr>
              <w:t>4</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7C4AEB" w:rsidP="007C4AEB">
            <w:pPr>
              <w:pStyle w:val="BodyText3"/>
              <w:spacing w:after="0" w:line="276" w:lineRule="auto"/>
              <w:jc w:val="center"/>
              <w:rPr>
                <w:rFonts w:ascii="Times New Roman" w:hAnsi="Times New Roman"/>
                <w:color w:val="000000"/>
                <w:sz w:val="24"/>
                <w:szCs w:val="24"/>
              </w:rPr>
            </w:pPr>
            <w:r w:rsidRPr="008C1D0F">
              <w:rPr>
                <w:rFonts w:ascii="Times New Roman" w:hAnsi="Times New Roman"/>
                <w:color w:val="000000"/>
                <w:sz w:val="24"/>
                <w:szCs w:val="24"/>
              </w:rPr>
              <w:t xml:space="preserve">Llog 231 </w:t>
            </w:r>
            <w:r w:rsidR="00BC2353" w:rsidRPr="008C1D0F">
              <w:rPr>
                <w:rFonts w:ascii="Times New Roman" w:hAnsi="Times New Roman"/>
                <w:color w:val="000000"/>
                <w:sz w:val="24"/>
                <w:szCs w:val="24"/>
              </w:rPr>
              <w:t>Investime</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7C4AEB" w:rsidP="007C4AEB">
            <w:pPr>
              <w:spacing w:line="276" w:lineRule="auto"/>
              <w:jc w:val="center"/>
            </w:pPr>
            <w:r w:rsidRPr="008C1D0F">
              <w:t>1.000</w:t>
            </w:r>
          </w:p>
        </w:tc>
      </w:tr>
      <w:tr w:rsidR="00BC2353" w:rsidRPr="008C1D0F"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b/>
                <w:bCs/>
                <w:color w:val="000000"/>
                <w:sz w:val="24"/>
                <w:szCs w:val="24"/>
              </w:rPr>
            </w:pPr>
            <w:r w:rsidRPr="008C1D0F">
              <w:rPr>
                <w:rFonts w:ascii="Times New Roman" w:hAnsi="Times New Roman"/>
                <w:b/>
                <w:bCs/>
                <w:color w:val="000000"/>
                <w:sz w:val="24"/>
                <w:szCs w:val="24"/>
              </w:rPr>
              <w:t>a)</w:t>
            </w:r>
          </w:p>
        </w:tc>
        <w:tc>
          <w:tcPr>
            <w:tcW w:w="4878" w:type="dxa"/>
            <w:tcBorders>
              <w:top w:val="nil"/>
              <w:left w:val="nil"/>
              <w:bottom w:val="single" w:sz="8" w:space="0" w:color="F7CAAC"/>
              <w:right w:val="single" w:sz="8" w:space="0" w:color="F7CAAC"/>
            </w:tcBorders>
            <w:tcMar>
              <w:top w:w="0" w:type="dxa"/>
              <w:left w:w="108" w:type="dxa"/>
              <w:bottom w:w="0" w:type="dxa"/>
              <w:right w:w="108" w:type="dxa"/>
            </w:tcMar>
            <w:hideMark/>
          </w:tcPr>
          <w:p w:rsidR="00BC2353" w:rsidRPr="008C1D0F" w:rsidRDefault="007C4AEB" w:rsidP="007C4AEB">
            <w:pPr>
              <w:autoSpaceDE w:val="0"/>
              <w:autoSpaceDN w:val="0"/>
              <w:adjustRightInd w:val="0"/>
              <w:spacing w:line="276" w:lineRule="auto"/>
              <w:jc w:val="center"/>
              <w:rPr>
                <w:bCs/>
                <w:color w:val="000000"/>
              </w:rPr>
            </w:pPr>
            <w:r w:rsidRPr="008C1D0F">
              <w:rPr>
                <w:bCs/>
                <w:color w:val="000000"/>
              </w:rPr>
              <w:t>Blerje pajisje zyre/kompjuterike/elektronike/vegla e pajisje/18AC202</w:t>
            </w:r>
          </w:p>
        </w:tc>
        <w:tc>
          <w:tcPr>
            <w:tcW w:w="3330" w:type="dxa"/>
            <w:tcBorders>
              <w:top w:val="nil"/>
              <w:left w:val="nil"/>
              <w:bottom w:val="single" w:sz="8" w:space="0" w:color="F7CAAC"/>
              <w:right w:val="single" w:sz="8" w:space="0" w:color="F7CAAC"/>
            </w:tcBorders>
            <w:tcMar>
              <w:top w:w="0" w:type="dxa"/>
              <w:left w:w="108" w:type="dxa"/>
              <w:bottom w:w="0" w:type="dxa"/>
              <w:right w:w="108" w:type="dxa"/>
            </w:tcMar>
            <w:hideMark/>
          </w:tcPr>
          <w:p w:rsidR="00BC2353" w:rsidRPr="008C1D0F" w:rsidRDefault="00BC2353" w:rsidP="007C4AEB">
            <w:pPr>
              <w:autoSpaceDE w:val="0"/>
              <w:autoSpaceDN w:val="0"/>
              <w:adjustRightInd w:val="0"/>
              <w:spacing w:line="276" w:lineRule="auto"/>
              <w:jc w:val="center"/>
              <w:rPr>
                <w:bCs/>
                <w:color w:val="000000"/>
              </w:rPr>
            </w:pPr>
          </w:p>
        </w:tc>
      </w:tr>
      <w:tr w:rsidR="00BC2353" w:rsidRPr="008C1D0F"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b/>
                <w:bCs/>
                <w:color w:val="000000"/>
                <w:sz w:val="24"/>
                <w:szCs w:val="24"/>
              </w:rPr>
            </w:pPr>
            <w:r w:rsidRPr="008C1D0F">
              <w:rPr>
                <w:rFonts w:ascii="Times New Roman" w:hAnsi="Times New Roman"/>
                <w:b/>
                <w:bCs/>
                <w:color w:val="000000"/>
                <w:sz w:val="24"/>
                <w:szCs w:val="24"/>
              </w:rPr>
              <w:t>5</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color w:val="000000"/>
                <w:sz w:val="24"/>
                <w:szCs w:val="24"/>
              </w:rPr>
            </w:pPr>
            <w:r w:rsidRPr="008C1D0F">
              <w:rPr>
                <w:rFonts w:ascii="Times New Roman" w:hAnsi="Times New Roman"/>
                <w:color w:val="000000"/>
                <w:sz w:val="24"/>
                <w:szCs w:val="24"/>
              </w:rPr>
              <w:t>Transferta te buxhetet familjare</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7C4AEB" w:rsidP="007C4AEB">
            <w:pPr>
              <w:spacing w:line="276" w:lineRule="auto"/>
              <w:jc w:val="center"/>
            </w:pPr>
            <w:r w:rsidRPr="008C1D0F">
              <w:t>240</w:t>
            </w:r>
          </w:p>
        </w:tc>
      </w:tr>
      <w:tr w:rsidR="00BC2353" w:rsidRPr="008C1D0F"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b/>
                <w:bCs/>
                <w:color w:val="000000"/>
                <w:sz w:val="24"/>
                <w:szCs w:val="24"/>
              </w:rPr>
            </w:pPr>
            <w:r w:rsidRPr="008C1D0F">
              <w:rPr>
                <w:rFonts w:ascii="Times New Roman" w:hAnsi="Times New Roman"/>
                <w:b/>
                <w:bCs/>
                <w:color w:val="000000"/>
                <w:sz w:val="24"/>
                <w:szCs w:val="24"/>
              </w:rPr>
              <w:t>6</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bCs/>
                <w:color w:val="000000"/>
                <w:sz w:val="24"/>
                <w:szCs w:val="24"/>
              </w:rPr>
            </w:pPr>
            <w:r w:rsidRPr="008C1D0F">
              <w:rPr>
                <w:rFonts w:ascii="Times New Roman" w:hAnsi="Times New Roman"/>
                <w:bCs/>
                <w:color w:val="000000"/>
                <w:sz w:val="24"/>
                <w:szCs w:val="24"/>
              </w:rPr>
              <w:t>Kuotizacion</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spacing w:line="276" w:lineRule="auto"/>
              <w:jc w:val="center"/>
            </w:pPr>
            <w:r w:rsidRPr="008C1D0F">
              <w:t>100</w:t>
            </w:r>
          </w:p>
        </w:tc>
      </w:tr>
      <w:tr w:rsidR="00BC2353" w:rsidRPr="008C1D0F"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BC2353" w:rsidRPr="008C1D0F" w:rsidRDefault="00BC2353" w:rsidP="007C4AEB">
            <w:pPr>
              <w:pStyle w:val="BodyText3"/>
              <w:spacing w:after="0" w:line="276" w:lineRule="auto"/>
              <w:rPr>
                <w:rFonts w:ascii="Times New Roman" w:hAnsi="Times New Roman"/>
                <w:b/>
                <w:bCs/>
                <w:color w:val="000000"/>
                <w:sz w:val="24"/>
                <w:szCs w:val="24"/>
              </w:rPr>
            </w:pPr>
          </w:p>
        </w:tc>
        <w:tc>
          <w:tcPr>
            <w:tcW w:w="4878" w:type="dxa"/>
            <w:tcBorders>
              <w:top w:val="nil"/>
              <w:left w:val="nil"/>
              <w:bottom w:val="single" w:sz="8" w:space="0" w:color="F7CAAC"/>
              <w:right w:val="single" w:sz="8" w:space="0" w:color="F7CAAC"/>
            </w:tcBorders>
            <w:tcMar>
              <w:top w:w="0" w:type="dxa"/>
              <w:left w:w="108" w:type="dxa"/>
              <w:bottom w:w="0" w:type="dxa"/>
              <w:right w:w="108" w:type="dxa"/>
            </w:tcMar>
            <w:hideMark/>
          </w:tcPr>
          <w:p w:rsidR="00BC2353" w:rsidRPr="008C1D0F" w:rsidRDefault="00BC2353" w:rsidP="007C4AEB">
            <w:pPr>
              <w:pStyle w:val="BodyText3"/>
              <w:spacing w:after="0" w:line="276" w:lineRule="auto"/>
              <w:rPr>
                <w:rFonts w:ascii="Times New Roman" w:hAnsi="Times New Roman"/>
                <w:b/>
                <w:bCs/>
                <w:color w:val="000000"/>
                <w:sz w:val="24"/>
                <w:szCs w:val="24"/>
              </w:rPr>
            </w:pPr>
            <w:r w:rsidRPr="008C1D0F">
              <w:rPr>
                <w:rFonts w:ascii="Times New Roman" w:hAnsi="Times New Roman"/>
                <w:b/>
                <w:bCs/>
                <w:color w:val="000000"/>
                <w:sz w:val="24"/>
                <w:szCs w:val="24"/>
              </w:rPr>
              <w:t xml:space="preserve">Totali  </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7C4AEB" w:rsidP="007C4AEB">
            <w:pPr>
              <w:pStyle w:val="BodyText3"/>
              <w:spacing w:after="0" w:line="276" w:lineRule="auto"/>
              <w:jc w:val="center"/>
              <w:rPr>
                <w:rFonts w:ascii="Times New Roman" w:hAnsi="Times New Roman"/>
                <w:b/>
                <w:bCs/>
                <w:color w:val="000000"/>
                <w:sz w:val="24"/>
                <w:szCs w:val="24"/>
              </w:rPr>
            </w:pPr>
            <w:r w:rsidRPr="008C1D0F">
              <w:rPr>
                <w:rFonts w:ascii="Times New Roman" w:hAnsi="Times New Roman"/>
                <w:b/>
                <w:bCs/>
                <w:color w:val="000000"/>
                <w:sz w:val="24"/>
                <w:szCs w:val="24"/>
              </w:rPr>
              <w:t>66.626</w:t>
            </w:r>
          </w:p>
        </w:tc>
      </w:tr>
      <w:tr w:rsidR="009F611F" w:rsidRPr="008C1D0F" w:rsidTr="009F611F">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9F611F" w:rsidRPr="008C1D0F" w:rsidRDefault="009F611F" w:rsidP="000F7C1E">
            <w:pPr>
              <w:pStyle w:val="BodyText3"/>
              <w:spacing w:after="0" w:line="276" w:lineRule="auto"/>
              <w:rPr>
                <w:rFonts w:ascii="Times New Roman" w:hAnsi="Times New Roman"/>
                <w:b/>
                <w:bCs/>
                <w:color w:val="000000"/>
                <w:sz w:val="24"/>
                <w:szCs w:val="24"/>
              </w:rPr>
            </w:pPr>
          </w:p>
        </w:tc>
        <w:tc>
          <w:tcPr>
            <w:tcW w:w="4878" w:type="dxa"/>
            <w:tcBorders>
              <w:top w:val="nil"/>
              <w:left w:val="nil"/>
              <w:bottom w:val="single" w:sz="8" w:space="0" w:color="F7CAAC"/>
              <w:right w:val="single" w:sz="8" w:space="0" w:color="F7CAAC"/>
            </w:tcBorders>
            <w:tcMar>
              <w:top w:w="0" w:type="dxa"/>
              <w:left w:w="108" w:type="dxa"/>
              <w:bottom w:w="0" w:type="dxa"/>
              <w:right w:w="108" w:type="dxa"/>
            </w:tcMar>
            <w:hideMark/>
          </w:tcPr>
          <w:p w:rsidR="009F611F" w:rsidRPr="008C1D0F" w:rsidRDefault="009F611F" w:rsidP="009F611F">
            <w:pPr>
              <w:pStyle w:val="BodyText3"/>
              <w:spacing w:after="0" w:line="276" w:lineRule="auto"/>
              <w:rPr>
                <w:rFonts w:ascii="Times New Roman" w:hAnsi="Times New Roman"/>
                <w:b/>
                <w:bCs/>
                <w:color w:val="000000"/>
                <w:sz w:val="24"/>
                <w:szCs w:val="24"/>
              </w:rPr>
            </w:pPr>
            <w:r w:rsidRPr="008C1D0F">
              <w:rPr>
                <w:rFonts w:ascii="Times New Roman" w:hAnsi="Times New Roman"/>
                <w:b/>
                <w:bCs/>
                <w:color w:val="000000"/>
                <w:sz w:val="24"/>
                <w:szCs w:val="24"/>
              </w:rPr>
              <w:t xml:space="preserve">Fondi i vecantë </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F611F" w:rsidRPr="008C1D0F" w:rsidRDefault="009F611F" w:rsidP="000F7C1E">
            <w:pPr>
              <w:pStyle w:val="BodyText3"/>
              <w:spacing w:after="0" w:line="276" w:lineRule="auto"/>
              <w:jc w:val="center"/>
              <w:rPr>
                <w:rFonts w:ascii="Times New Roman" w:hAnsi="Times New Roman"/>
                <w:b/>
                <w:bCs/>
                <w:color w:val="000000"/>
                <w:sz w:val="24"/>
                <w:szCs w:val="24"/>
              </w:rPr>
            </w:pPr>
            <w:r w:rsidRPr="008C1D0F">
              <w:rPr>
                <w:rFonts w:ascii="Times New Roman" w:hAnsi="Times New Roman"/>
                <w:b/>
                <w:bCs/>
                <w:color w:val="000000"/>
                <w:sz w:val="24"/>
                <w:szCs w:val="24"/>
              </w:rPr>
              <w:t>200</w:t>
            </w:r>
          </w:p>
        </w:tc>
      </w:tr>
      <w:tr w:rsidR="009F611F" w:rsidRPr="008C1D0F" w:rsidTr="009F611F">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9F611F" w:rsidRPr="008C1D0F" w:rsidRDefault="009F611F" w:rsidP="000F7C1E">
            <w:pPr>
              <w:pStyle w:val="BodyText3"/>
              <w:spacing w:after="0" w:line="276" w:lineRule="auto"/>
              <w:rPr>
                <w:rFonts w:ascii="Times New Roman" w:hAnsi="Times New Roman"/>
                <w:b/>
                <w:bCs/>
                <w:color w:val="000000"/>
                <w:sz w:val="24"/>
                <w:szCs w:val="24"/>
              </w:rPr>
            </w:pPr>
          </w:p>
        </w:tc>
        <w:tc>
          <w:tcPr>
            <w:tcW w:w="4878" w:type="dxa"/>
            <w:tcBorders>
              <w:top w:val="nil"/>
              <w:left w:val="nil"/>
              <w:bottom w:val="single" w:sz="8" w:space="0" w:color="F7CAAC"/>
              <w:right w:val="single" w:sz="8" w:space="0" w:color="F7CAAC"/>
            </w:tcBorders>
            <w:tcMar>
              <w:top w:w="0" w:type="dxa"/>
              <w:left w:w="108" w:type="dxa"/>
              <w:bottom w:w="0" w:type="dxa"/>
              <w:right w:w="108" w:type="dxa"/>
            </w:tcMar>
            <w:hideMark/>
          </w:tcPr>
          <w:p w:rsidR="009F611F" w:rsidRPr="008C1D0F" w:rsidRDefault="009F611F" w:rsidP="009F611F">
            <w:pPr>
              <w:pStyle w:val="BodyText3"/>
              <w:spacing w:after="0" w:line="276" w:lineRule="auto"/>
              <w:rPr>
                <w:rFonts w:ascii="Times New Roman" w:hAnsi="Times New Roman"/>
                <w:b/>
                <w:bCs/>
                <w:color w:val="000000"/>
                <w:sz w:val="24"/>
                <w:szCs w:val="24"/>
              </w:rPr>
            </w:pPr>
            <w:r w:rsidRPr="008C1D0F">
              <w:rPr>
                <w:rFonts w:ascii="Times New Roman" w:hAnsi="Times New Roman"/>
                <w:b/>
                <w:bCs/>
                <w:color w:val="000000"/>
                <w:sz w:val="24"/>
                <w:szCs w:val="24"/>
              </w:rPr>
              <w:t xml:space="preserve">Totali+ fondi i vecantë </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F611F" w:rsidRPr="008C1D0F" w:rsidRDefault="009F611F" w:rsidP="000F7C1E">
            <w:pPr>
              <w:pStyle w:val="BodyText3"/>
              <w:spacing w:after="0" w:line="276" w:lineRule="auto"/>
              <w:jc w:val="center"/>
              <w:rPr>
                <w:rFonts w:ascii="Times New Roman" w:hAnsi="Times New Roman"/>
                <w:b/>
                <w:bCs/>
                <w:color w:val="000000"/>
                <w:sz w:val="24"/>
                <w:szCs w:val="24"/>
              </w:rPr>
            </w:pPr>
            <w:r w:rsidRPr="008C1D0F">
              <w:rPr>
                <w:rFonts w:ascii="Times New Roman" w:hAnsi="Times New Roman"/>
                <w:b/>
                <w:bCs/>
                <w:color w:val="000000"/>
                <w:sz w:val="24"/>
                <w:szCs w:val="24"/>
              </w:rPr>
              <w:t>66.826</w:t>
            </w:r>
          </w:p>
        </w:tc>
      </w:tr>
    </w:tbl>
    <w:p w:rsidR="00BC2353" w:rsidRPr="008C1D0F" w:rsidRDefault="00BC2353" w:rsidP="00CA3D5C">
      <w:pPr>
        <w:spacing w:line="276" w:lineRule="auto"/>
        <w:jc w:val="both"/>
      </w:pPr>
    </w:p>
    <w:p w:rsidR="009A1190" w:rsidRPr="008C1D0F" w:rsidRDefault="000F7C1E" w:rsidP="009A1190">
      <w:pPr>
        <w:spacing w:line="276" w:lineRule="auto"/>
        <w:jc w:val="both"/>
        <w:rPr>
          <w:rFonts w:eastAsia="Batang"/>
          <w:iCs/>
          <w:color w:val="0D0D0D" w:themeColor="text1" w:themeTint="F2"/>
        </w:rPr>
      </w:pPr>
      <w:r w:rsidRPr="008C1D0F">
        <w:rPr>
          <w:rFonts w:eastAsia="Batang"/>
          <w:iCs/>
          <w:color w:val="0D0D0D" w:themeColor="text1" w:themeTint="F2"/>
        </w:rPr>
        <w:t xml:space="preserve">Ndërsa </w:t>
      </w:r>
      <w:r w:rsidR="007C4AEB" w:rsidRPr="008C1D0F">
        <w:rPr>
          <w:rFonts w:eastAsia="Batang"/>
          <w:iCs/>
          <w:color w:val="0D0D0D" w:themeColor="text1" w:themeTint="F2"/>
        </w:rPr>
        <w:t>vlera</w:t>
      </w:r>
      <w:r w:rsidR="009A1190" w:rsidRPr="008C1D0F">
        <w:rPr>
          <w:rFonts w:eastAsia="Batang"/>
          <w:iCs/>
          <w:color w:val="0D0D0D" w:themeColor="text1" w:themeTint="F2"/>
        </w:rPr>
        <w:t xml:space="preserve"> e mbartur sipa</w:t>
      </w:r>
      <w:r w:rsidR="00441F14" w:rsidRPr="008C1D0F">
        <w:rPr>
          <w:rFonts w:eastAsia="Batang"/>
          <w:iCs/>
          <w:color w:val="0D0D0D" w:themeColor="text1" w:themeTint="F2"/>
        </w:rPr>
        <w:t>s artikujve buxhetore, paraqitet</w:t>
      </w:r>
      <w:r w:rsidR="009A1190" w:rsidRPr="008C1D0F">
        <w:rPr>
          <w:rFonts w:eastAsia="Batang"/>
          <w:iCs/>
          <w:color w:val="0D0D0D" w:themeColor="text1" w:themeTint="F2"/>
        </w:rPr>
        <w:t xml:space="preserve"> për sa e si më poshtë:</w:t>
      </w:r>
    </w:p>
    <w:p w:rsidR="000F7C1E" w:rsidRPr="008C1D0F" w:rsidRDefault="000F7C1E" w:rsidP="009A1190">
      <w:pPr>
        <w:spacing w:line="276" w:lineRule="auto"/>
        <w:jc w:val="both"/>
        <w:rPr>
          <w:rFonts w:eastAsia="Batang"/>
          <w:iCs/>
          <w:color w:val="0D0D0D" w:themeColor="text1" w:themeTint="F2"/>
        </w:rPr>
      </w:pPr>
    </w:p>
    <w:p w:rsidR="009A1190" w:rsidRPr="008C1D0F" w:rsidRDefault="009A1190" w:rsidP="0082582B">
      <w:pPr>
        <w:pStyle w:val="ListParagraph"/>
        <w:numPr>
          <w:ilvl w:val="0"/>
          <w:numId w:val="5"/>
        </w:numPr>
        <w:jc w:val="both"/>
        <w:rPr>
          <w:rFonts w:ascii="Times New Roman" w:eastAsia="Batang" w:hAnsi="Times New Roman"/>
          <w:iCs/>
          <w:color w:val="0D0D0D" w:themeColor="text1" w:themeTint="F2"/>
          <w:sz w:val="24"/>
          <w:szCs w:val="24"/>
        </w:rPr>
      </w:pPr>
      <w:r w:rsidRPr="008C1D0F">
        <w:rPr>
          <w:rFonts w:ascii="Times New Roman" w:eastAsia="Batang" w:hAnsi="Times New Roman"/>
          <w:iCs/>
          <w:color w:val="0D0D0D" w:themeColor="text1" w:themeTint="F2"/>
          <w:sz w:val="24"/>
          <w:szCs w:val="24"/>
        </w:rPr>
        <w:t>S</w:t>
      </w:r>
      <w:r w:rsidR="00A21D52">
        <w:rPr>
          <w:rFonts w:ascii="Times New Roman" w:eastAsia="Batang" w:hAnsi="Times New Roman"/>
          <w:iCs/>
          <w:color w:val="0D0D0D" w:themeColor="text1" w:themeTint="F2"/>
          <w:sz w:val="24"/>
          <w:szCs w:val="24"/>
        </w:rPr>
        <w:t xml:space="preserve">hpenzime operative në vlerën  </w:t>
      </w:r>
      <w:r w:rsidRPr="008C1D0F">
        <w:rPr>
          <w:rFonts w:ascii="Times New Roman" w:eastAsia="Batang" w:hAnsi="Times New Roman"/>
          <w:iCs/>
          <w:color w:val="0D0D0D" w:themeColor="text1" w:themeTint="F2"/>
          <w:sz w:val="24"/>
          <w:szCs w:val="24"/>
        </w:rPr>
        <w:t>7.919.895</w:t>
      </w:r>
      <w:r w:rsidR="00A21D52">
        <w:rPr>
          <w:rFonts w:ascii="Times New Roman" w:eastAsia="Batang" w:hAnsi="Times New Roman"/>
          <w:iCs/>
          <w:color w:val="0D0D0D" w:themeColor="text1" w:themeTint="F2"/>
          <w:sz w:val="24"/>
          <w:szCs w:val="24"/>
        </w:rPr>
        <w:t xml:space="preserve"> </w:t>
      </w:r>
      <w:r w:rsidRPr="008C1D0F">
        <w:rPr>
          <w:rFonts w:ascii="Times New Roman" w:eastAsia="Batang" w:hAnsi="Times New Roman"/>
          <w:iCs/>
          <w:color w:val="0D0D0D" w:themeColor="text1" w:themeTint="F2"/>
          <w:sz w:val="24"/>
          <w:szCs w:val="24"/>
        </w:rPr>
        <w:t>lekë</w:t>
      </w:r>
    </w:p>
    <w:p w:rsidR="009A1190" w:rsidRPr="008C1D0F" w:rsidRDefault="00A21D52" w:rsidP="0082582B">
      <w:pPr>
        <w:pStyle w:val="ListParagraph"/>
        <w:numPr>
          <w:ilvl w:val="0"/>
          <w:numId w:val="5"/>
        </w:numPr>
        <w:jc w:val="both"/>
        <w:rPr>
          <w:rFonts w:ascii="Times New Roman" w:eastAsia="Batang" w:hAnsi="Times New Roman"/>
          <w:iCs/>
          <w:color w:val="0D0D0D" w:themeColor="text1" w:themeTint="F2"/>
          <w:sz w:val="24"/>
          <w:szCs w:val="24"/>
        </w:rPr>
      </w:pPr>
      <w:r>
        <w:rPr>
          <w:rFonts w:ascii="Times New Roman" w:eastAsia="Batang" w:hAnsi="Times New Roman"/>
          <w:iCs/>
          <w:color w:val="0D0D0D" w:themeColor="text1" w:themeTint="F2"/>
          <w:sz w:val="24"/>
          <w:szCs w:val="24"/>
        </w:rPr>
        <w:t xml:space="preserve">Shpenzime kapitale në vlerën  </w:t>
      </w:r>
      <w:r w:rsidR="009A1190" w:rsidRPr="008C1D0F">
        <w:rPr>
          <w:rFonts w:ascii="Times New Roman" w:eastAsia="Batang" w:hAnsi="Times New Roman"/>
          <w:iCs/>
          <w:color w:val="0D0D0D" w:themeColor="text1" w:themeTint="F2"/>
          <w:sz w:val="24"/>
          <w:szCs w:val="24"/>
        </w:rPr>
        <w:t>27.045.951 lekë</w:t>
      </w:r>
    </w:p>
    <w:p w:rsidR="009A1190" w:rsidRPr="008C1D0F" w:rsidRDefault="009A1190" w:rsidP="007C4AEB">
      <w:pPr>
        <w:spacing w:line="276" w:lineRule="auto"/>
        <w:jc w:val="both"/>
        <w:rPr>
          <w:lang w:val="it-IT"/>
        </w:rPr>
      </w:pPr>
      <w:r w:rsidRPr="008C1D0F">
        <w:rPr>
          <w:rFonts w:eastAsia="Batang"/>
          <w:iCs/>
          <w:color w:val="0D0D0D" w:themeColor="text1" w:themeTint="F2"/>
        </w:rPr>
        <w:t xml:space="preserve">Kjo </w:t>
      </w:r>
      <w:r w:rsidR="007C4AEB" w:rsidRPr="008C1D0F">
        <w:rPr>
          <w:rFonts w:eastAsia="Batang"/>
          <w:iCs/>
          <w:color w:val="0D0D0D" w:themeColor="text1" w:themeTint="F2"/>
        </w:rPr>
        <w:t xml:space="preserve">shumë </w:t>
      </w:r>
      <w:r w:rsidRPr="008C1D0F">
        <w:rPr>
          <w:rFonts w:eastAsia="Batang"/>
          <w:iCs/>
          <w:color w:val="0D0D0D" w:themeColor="text1" w:themeTint="F2"/>
        </w:rPr>
        <w:t>është</w:t>
      </w:r>
      <w:r w:rsidR="007C4AEB" w:rsidRPr="008C1D0F">
        <w:rPr>
          <w:rFonts w:eastAsia="Batang"/>
          <w:iCs/>
          <w:color w:val="0D0D0D" w:themeColor="text1" w:themeTint="F2"/>
        </w:rPr>
        <w:t xml:space="preserve"> krijuar nga të ardhurat jashtë limitit (sponsorizimet), Kap 6, </w:t>
      </w:r>
      <w:r w:rsidRPr="008C1D0F">
        <w:rPr>
          <w:rFonts w:eastAsia="Batang"/>
          <w:iCs/>
          <w:color w:val="0D0D0D" w:themeColor="text1" w:themeTint="F2"/>
        </w:rPr>
        <w:t xml:space="preserve">si </w:t>
      </w:r>
      <w:r w:rsidRPr="008C1D0F">
        <w:rPr>
          <w:lang w:val="it-IT"/>
        </w:rPr>
        <w:t>kontribut i tarifës së miratuar të regjistrimit të pjes</w:t>
      </w:r>
      <w:r w:rsidRPr="008C1D0F">
        <w:rPr>
          <w:rFonts w:eastAsia="MingLiU-ExtB"/>
          <w:lang w:val="it-IT"/>
        </w:rPr>
        <w:t>ë</w:t>
      </w:r>
      <w:r w:rsidRPr="008C1D0F">
        <w:rPr>
          <w:lang w:val="it-IT"/>
        </w:rPr>
        <w:t xml:space="preserve">marrësve si dhe kontributit të donatorëve vendas dhe/ose të huaj, gjatë </w:t>
      </w:r>
      <w:r w:rsidR="007C4AEB" w:rsidRPr="008C1D0F">
        <w:rPr>
          <w:rFonts w:eastAsia="Batang"/>
          <w:iCs/>
          <w:color w:val="0D0D0D" w:themeColor="text1" w:themeTint="F2"/>
        </w:rPr>
        <w:t xml:space="preserve">organizimit të </w:t>
      </w:r>
      <w:r w:rsidR="007C4AEB" w:rsidRPr="008C1D0F">
        <w:t xml:space="preserve">Konferencës Ndërkombëtare të Komisionerëve të Mbrojtjes së të Dhënave dhe Privatësisë (ICDPPC), në </w:t>
      </w:r>
      <w:r w:rsidR="007C4AEB" w:rsidRPr="008C1D0F">
        <w:rPr>
          <w:b/>
          <w:i/>
          <w:u w:val="single"/>
        </w:rPr>
        <w:t>21-24 tetor 2019,</w:t>
      </w:r>
      <w:r w:rsidR="007C4AEB" w:rsidRPr="008C1D0F">
        <w:t xml:space="preserve"> në Tiranë</w:t>
      </w:r>
      <w:r w:rsidR="00A708BD" w:rsidRPr="008C1D0F">
        <w:rPr>
          <w:lang w:val="it-IT"/>
        </w:rPr>
        <w:t>.</w:t>
      </w:r>
      <w:r w:rsidR="007C4AEB" w:rsidRPr="008C1D0F">
        <w:rPr>
          <w:lang w:val="it-IT"/>
        </w:rPr>
        <w:t xml:space="preserve"> </w:t>
      </w:r>
    </w:p>
    <w:p w:rsidR="00A708BD" w:rsidRPr="008C1D0F" w:rsidRDefault="00A708BD" w:rsidP="007C4AEB">
      <w:pPr>
        <w:spacing w:line="276" w:lineRule="auto"/>
        <w:jc w:val="both"/>
        <w:rPr>
          <w:color w:val="0D0D0D" w:themeColor="text1" w:themeTint="F2"/>
          <w:lang w:val="it-IT"/>
        </w:rPr>
      </w:pPr>
    </w:p>
    <w:p w:rsidR="007C4AEB" w:rsidRPr="008C1D0F" w:rsidRDefault="007C4AEB" w:rsidP="007C4AEB">
      <w:pPr>
        <w:spacing w:line="276" w:lineRule="auto"/>
        <w:jc w:val="both"/>
        <w:rPr>
          <w:rFonts w:eastAsia="Batang"/>
          <w:iCs/>
          <w:color w:val="0D0D0D" w:themeColor="text1" w:themeTint="F2"/>
        </w:rPr>
      </w:pPr>
      <w:r w:rsidRPr="008C1D0F">
        <w:rPr>
          <w:rFonts w:eastAsia="Batang"/>
          <w:iCs/>
          <w:color w:val="0D0D0D" w:themeColor="text1" w:themeTint="F2"/>
        </w:rPr>
        <w:t xml:space="preserve">Gjatë periudhës së raportimit, </w:t>
      </w:r>
      <w:r w:rsidR="00A708BD" w:rsidRPr="008C1D0F">
        <w:rPr>
          <w:rFonts w:eastAsia="Batang"/>
          <w:iCs/>
          <w:color w:val="0D0D0D" w:themeColor="text1" w:themeTint="F2"/>
        </w:rPr>
        <w:t>është</w:t>
      </w:r>
      <w:r w:rsidRPr="008C1D0F">
        <w:rPr>
          <w:rFonts w:eastAsia="Batang"/>
          <w:iCs/>
          <w:color w:val="0D0D0D" w:themeColor="text1" w:themeTint="F2"/>
        </w:rPr>
        <w:t xml:space="preserve"> </w:t>
      </w:r>
      <w:r w:rsidR="009A1190" w:rsidRPr="008C1D0F">
        <w:rPr>
          <w:rFonts w:eastAsia="Batang"/>
          <w:iCs/>
          <w:color w:val="0D0D0D" w:themeColor="text1" w:themeTint="F2"/>
        </w:rPr>
        <w:t xml:space="preserve">arkëtuar shuma </w:t>
      </w:r>
      <w:r w:rsidR="00A708BD" w:rsidRPr="008C1D0F">
        <w:rPr>
          <w:rFonts w:eastAsia="Batang"/>
          <w:iCs/>
          <w:color w:val="0D0D0D" w:themeColor="text1" w:themeTint="F2"/>
        </w:rPr>
        <w:t xml:space="preserve">e </w:t>
      </w:r>
      <w:r w:rsidR="009A1190" w:rsidRPr="008C1D0F">
        <w:rPr>
          <w:rFonts w:eastAsia="Batang"/>
          <w:iCs/>
          <w:color w:val="0D0D0D" w:themeColor="text1" w:themeTint="F2"/>
        </w:rPr>
        <w:t>kontribute</w:t>
      </w:r>
      <w:r w:rsidR="00A708BD" w:rsidRPr="008C1D0F">
        <w:rPr>
          <w:rFonts w:eastAsia="Batang"/>
          <w:iCs/>
          <w:color w:val="0D0D0D" w:themeColor="text1" w:themeTint="F2"/>
        </w:rPr>
        <w:t>ve/donacioneve</w:t>
      </w:r>
      <w:r w:rsidR="009A1190" w:rsidRPr="008C1D0F">
        <w:rPr>
          <w:rFonts w:eastAsia="Batang"/>
          <w:iCs/>
          <w:color w:val="0D0D0D" w:themeColor="text1" w:themeTint="F2"/>
        </w:rPr>
        <w:t>, si m</w:t>
      </w:r>
      <w:r w:rsidR="00A708BD" w:rsidRPr="008C1D0F">
        <w:rPr>
          <w:rFonts w:eastAsia="Batang"/>
          <w:iCs/>
          <w:color w:val="0D0D0D" w:themeColor="text1" w:themeTint="F2"/>
        </w:rPr>
        <w:t>ë</w:t>
      </w:r>
      <w:r w:rsidR="009A1190" w:rsidRPr="008C1D0F">
        <w:rPr>
          <w:rFonts w:eastAsia="Batang"/>
          <w:iCs/>
          <w:color w:val="0D0D0D" w:themeColor="text1" w:themeTint="F2"/>
        </w:rPr>
        <w:t xml:space="preserve"> poshtë: </w:t>
      </w:r>
    </w:p>
    <w:p w:rsidR="00441F14" w:rsidRPr="008C1D0F" w:rsidRDefault="009A1190" w:rsidP="0082582B">
      <w:pPr>
        <w:pStyle w:val="ListParagraph"/>
        <w:numPr>
          <w:ilvl w:val="0"/>
          <w:numId w:val="13"/>
        </w:numPr>
        <w:jc w:val="both"/>
        <w:rPr>
          <w:rFonts w:ascii="Times New Roman" w:eastAsia="Batang" w:hAnsi="Times New Roman"/>
          <w:iCs/>
          <w:color w:val="0D0D0D" w:themeColor="text1" w:themeTint="F2"/>
          <w:sz w:val="24"/>
          <w:szCs w:val="24"/>
        </w:rPr>
      </w:pPr>
      <w:r w:rsidRPr="008C1D0F">
        <w:rPr>
          <w:rFonts w:ascii="Times New Roman" w:eastAsia="Batang" w:hAnsi="Times New Roman"/>
          <w:iCs/>
          <w:color w:val="0D0D0D" w:themeColor="text1" w:themeTint="F2"/>
          <w:sz w:val="24"/>
          <w:szCs w:val="24"/>
        </w:rPr>
        <w:t xml:space="preserve">Sponsorizim </w:t>
      </w:r>
      <w:r w:rsidR="00A21D52">
        <w:rPr>
          <w:rFonts w:ascii="Times New Roman" w:eastAsia="Batang" w:hAnsi="Times New Roman"/>
          <w:iCs/>
          <w:color w:val="0D0D0D" w:themeColor="text1" w:themeTint="F2"/>
          <w:sz w:val="24"/>
          <w:szCs w:val="24"/>
        </w:rPr>
        <w:t xml:space="preserve">në vlerën  </w:t>
      </w:r>
      <w:r w:rsidRPr="008C1D0F">
        <w:rPr>
          <w:rFonts w:ascii="Times New Roman" w:eastAsia="Batang" w:hAnsi="Times New Roman"/>
          <w:iCs/>
          <w:color w:val="0D0D0D" w:themeColor="text1" w:themeTint="F2"/>
          <w:sz w:val="24"/>
          <w:szCs w:val="24"/>
        </w:rPr>
        <w:t>5.</w:t>
      </w:r>
      <w:r w:rsidR="00A708BD" w:rsidRPr="008C1D0F">
        <w:rPr>
          <w:rFonts w:ascii="Times New Roman" w:eastAsia="Batang" w:hAnsi="Times New Roman"/>
          <w:iCs/>
          <w:color w:val="0D0D0D" w:themeColor="text1" w:themeTint="F2"/>
          <w:sz w:val="24"/>
          <w:szCs w:val="24"/>
        </w:rPr>
        <w:t>851</w:t>
      </w:r>
      <w:r w:rsidRPr="008C1D0F">
        <w:rPr>
          <w:rFonts w:ascii="Times New Roman" w:eastAsia="Batang" w:hAnsi="Times New Roman"/>
          <w:iCs/>
          <w:color w:val="0D0D0D" w:themeColor="text1" w:themeTint="F2"/>
          <w:sz w:val="24"/>
          <w:szCs w:val="24"/>
        </w:rPr>
        <w:t>.</w:t>
      </w:r>
      <w:r w:rsidR="00A708BD" w:rsidRPr="008C1D0F">
        <w:rPr>
          <w:rFonts w:ascii="Times New Roman" w:eastAsia="Batang" w:hAnsi="Times New Roman"/>
          <w:iCs/>
          <w:color w:val="0D0D0D" w:themeColor="text1" w:themeTint="F2"/>
          <w:sz w:val="24"/>
          <w:szCs w:val="24"/>
        </w:rPr>
        <w:t xml:space="preserve">540 </w:t>
      </w:r>
      <w:r w:rsidR="007C4AEB" w:rsidRPr="008C1D0F">
        <w:rPr>
          <w:rFonts w:ascii="Times New Roman" w:eastAsia="Batang" w:hAnsi="Times New Roman"/>
          <w:iCs/>
          <w:color w:val="0D0D0D" w:themeColor="text1" w:themeTint="F2"/>
          <w:sz w:val="24"/>
          <w:szCs w:val="24"/>
        </w:rPr>
        <w:t>lekë</w:t>
      </w:r>
      <w:r w:rsidR="000F7C1E" w:rsidRPr="008C1D0F">
        <w:rPr>
          <w:rFonts w:ascii="Times New Roman" w:eastAsia="Batang" w:hAnsi="Times New Roman"/>
          <w:iCs/>
          <w:color w:val="0D0D0D" w:themeColor="text1" w:themeTint="F2"/>
          <w:sz w:val="24"/>
          <w:szCs w:val="24"/>
        </w:rPr>
        <w:t xml:space="preserve"> e detajuar si më poshtë: </w:t>
      </w:r>
    </w:p>
    <w:p w:rsidR="001C0E0A" w:rsidRPr="008C1D0F" w:rsidRDefault="00A21D52" w:rsidP="00E07A12">
      <w:pPr>
        <w:pStyle w:val="ListParagraph"/>
        <w:numPr>
          <w:ilvl w:val="0"/>
          <w:numId w:val="26"/>
        </w:numPr>
        <w:jc w:val="both"/>
        <w:rPr>
          <w:rFonts w:ascii="Times New Roman" w:eastAsia="Batang" w:hAnsi="Times New Roman"/>
          <w:iCs/>
          <w:color w:val="0D0D0D" w:themeColor="text1" w:themeTint="F2"/>
          <w:sz w:val="24"/>
          <w:szCs w:val="24"/>
        </w:rPr>
      </w:pPr>
      <w:r>
        <w:rPr>
          <w:rFonts w:ascii="Times New Roman" w:eastAsia="Batang" w:hAnsi="Times New Roman"/>
          <w:iCs/>
          <w:color w:val="0D0D0D" w:themeColor="text1" w:themeTint="F2"/>
          <w:sz w:val="24"/>
          <w:szCs w:val="24"/>
        </w:rPr>
        <w:t xml:space="preserve">Shpenzime operative në vlerën </w:t>
      </w:r>
      <w:r w:rsidR="001C0E0A" w:rsidRPr="008C1D0F">
        <w:rPr>
          <w:rFonts w:ascii="Times New Roman" w:eastAsia="Batang" w:hAnsi="Times New Roman"/>
          <w:iCs/>
          <w:color w:val="0D0D0D" w:themeColor="text1" w:themeTint="F2"/>
          <w:sz w:val="24"/>
          <w:szCs w:val="24"/>
        </w:rPr>
        <w:t>2.851.540 lekë</w:t>
      </w:r>
    </w:p>
    <w:p w:rsidR="00605778" w:rsidRDefault="001C0E0A" w:rsidP="00605778">
      <w:pPr>
        <w:pStyle w:val="ListParagraph"/>
        <w:numPr>
          <w:ilvl w:val="0"/>
          <w:numId w:val="26"/>
        </w:numPr>
        <w:jc w:val="both"/>
        <w:rPr>
          <w:rFonts w:ascii="Times New Roman" w:eastAsia="Batang" w:hAnsi="Times New Roman"/>
          <w:iCs/>
          <w:color w:val="0D0D0D" w:themeColor="text1" w:themeTint="F2"/>
          <w:sz w:val="24"/>
          <w:szCs w:val="24"/>
        </w:rPr>
      </w:pPr>
      <w:r w:rsidRPr="008C1D0F">
        <w:rPr>
          <w:rFonts w:ascii="Times New Roman" w:eastAsia="Batang" w:hAnsi="Times New Roman"/>
          <w:iCs/>
          <w:color w:val="0D0D0D" w:themeColor="text1" w:themeTint="F2"/>
          <w:sz w:val="24"/>
          <w:szCs w:val="24"/>
        </w:rPr>
        <w:t>Shpenzime kapitale në vlerën    3.000.000  lekë</w:t>
      </w:r>
    </w:p>
    <w:p w:rsidR="008C1D0F" w:rsidRPr="008C1D0F" w:rsidRDefault="008C1D0F" w:rsidP="008C1D0F">
      <w:pPr>
        <w:pStyle w:val="ListParagraph"/>
        <w:ind w:left="1440"/>
        <w:jc w:val="both"/>
        <w:rPr>
          <w:rFonts w:ascii="Times New Roman" w:eastAsia="Batang" w:hAnsi="Times New Roman"/>
          <w:iCs/>
          <w:color w:val="0D0D0D" w:themeColor="text1" w:themeTint="F2"/>
          <w:sz w:val="24"/>
          <w:szCs w:val="24"/>
        </w:rPr>
      </w:pPr>
    </w:p>
    <w:p w:rsidR="00BC2353" w:rsidRPr="008C1D0F" w:rsidRDefault="00BC2353" w:rsidP="0082582B">
      <w:pPr>
        <w:pStyle w:val="ListParagraph"/>
        <w:numPr>
          <w:ilvl w:val="0"/>
          <w:numId w:val="12"/>
        </w:numPr>
        <w:spacing w:after="0"/>
        <w:jc w:val="both"/>
        <w:rPr>
          <w:rFonts w:ascii="Times New Roman" w:hAnsi="Times New Roman"/>
          <w:b/>
          <w:i/>
          <w:sz w:val="24"/>
          <w:szCs w:val="24"/>
          <w:u w:val="single"/>
          <w:lang w:val="it-IT"/>
        </w:rPr>
      </w:pPr>
      <w:r w:rsidRPr="008C1D0F">
        <w:rPr>
          <w:rFonts w:ascii="Times New Roman" w:hAnsi="Times New Roman"/>
          <w:b/>
          <w:i/>
          <w:sz w:val="24"/>
          <w:szCs w:val="24"/>
          <w:u w:val="single"/>
          <w:lang w:val="it-IT"/>
        </w:rPr>
        <w:t>Realizimi i Treguesve ekonomiko-financiare</w:t>
      </w:r>
    </w:p>
    <w:p w:rsidR="00BC2353" w:rsidRPr="008C1D0F" w:rsidRDefault="00BC2353" w:rsidP="00BC2353">
      <w:pPr>
        <w:spacing w:line="276" w:lineRule="auto"/>
        <w:rPr>
          <w:color w:val="0D0D0D" w:themeColor="text1" w:themeTint="F2"/>
        </w:rPr>
      </w:pPr>
      <w:r w:rsidRPr="008C1D0F">
        <w:rPr>
          <w:lang w:val="it-IT"/>
        </w:rPr>
        <w:tab/>
      </w:r>
    </w:p>
    <w:p w:rsidR="00BC2353" w:rsidRPr="008C1D0F" w:rsidRDefault="00BC2353" w:rsidP="00BC2353">
      <w:pPr>
        <w:pStyle w:val="Title"/>
        <w:spacing w:after="40" w:line="276" w:lineRule="auto"/>
        <w:jc w:val="both"/>
        <w:rPr>
          <w:rFonts w:ascii="Times New Roman"/>
          <w:color w:val="0D0D0D" w:themeColor="text1" w:themeTint="F2"/>
          <w:sz w:val="24"/>
          <w:szCs w:val="24"/>
        </w:rPr>
      </w:pPr>
      <w:r w:rsidRPr="008C1D0F">
        <w:rPr>
          <w:rFonts w:ascii="Times New Roman"/>
          <w:color w:val="0D0D0D" w:themeColor="text1" w:themeTint="F2"/>
          <w:sz w:val="24"/>
          <w:szCs w:val="24"/>
        </w:rPr>
        <w:t>Zyra e Komisionerit ka ngritur sistemin e menaxhimit financiar dhe kontrollit, i cili është mbështetur në L</w:t>
      </w:r>
      <w:r w:rsidR="00441F14" w:rsidRPr="008C1D0F">
        <w:rPr>
          <w:rFonts w:ascii="Times New Roman"/>
          <w:color w:val="0D0D0D" w:themeColor="text1" w:themeTint="F2"/>
          <w:sz w:val="24"/>
          <w:szCs w:val="24"/>
        </w:rPr>
        <w:t>igjin nr.10296, datë 8.07.2010 “</w:t>
      </w:r>
      <w:r w:rsidRPr="008C1D0F">
        <w:rPr>
          <w:rFonts w:ascii="Times New Roman"/>
          <w:color w:val="0D0D0D" w:themeColor="text1" w:themeTint="F2"/>
          <w:sz w:val="24"/>
          <w:szCs w:val="24"/>
        </w:rPr>
        <w:t>Mbi menaxhimin financiar e kontrollin”, i ndryshuar si dhe në parimet e menaxhimit të fondeve publike me efektivitetet, transparencë, ekonomi dhe eficensë.</w:t>
      </w:r>
    </w:p>
    <w:p w:rsidR="00E07A12" w:rsidRDefault="00E07A12" w:rsidP="00E33BEF">
      <w:pPr>
        <w:spacing w:line="276" w:lineRule="auto"/>
        <w:jc w:val="both"/>
      </w:pPr>
      <w:r w:rsidRPr="00B25403">
        <w:t>Nga fondi i përgjithshëm buxhetor i planifikuar për vitin 2020, me ndryshimet e kryera gjatë vitit, Z</w:t>
      </w:r>
      <w:r>
        <w:t xml:space="preserve">yra e Komisionerit ka shpenzuar </w:t>
      </w:r>
      <w:r w:rsidRPr="00B25403">
        <w:t>vlerën buxhetore 65.965 (në mijë lekë).</w:t>
      </w:r>
      <w:r w:rsidRPr="00E82FCC">
        <w:t xml:space="preserve"> Është realizuar buxheti</w:t>
      </w:r>
      <w:r>
        <w:t xml:space="preserve"> në tërësinë e tij në masën 98.7</w:t>
      </w:r>
      <w:r w:rsidRPr="00E82FCC">
        <w:t>%, kundrejt planit vjetor</w:t>
      </w:r>
      <w:r>
        <w:t xml:space="preserve"> 2020. </w:t>
      </w:r>
    </w:p>
    <w:p w:rsidR="00E33BEF" w:rsidRPr="008C1D0F" w:rsidRDefault="00E33BEF" w:rsidP="00E33BEF">
      <w:pPr>
        <w:spacing w:line="276" w:lineRule="auto"/>
        <w:jc w:val="both"/>
      </w:pPr>
      <w:r w:rsidRPr="008C1D0F">
        <w:t>Në grafikun e mëposhtëm pasqyrohen në %, fondet e akorduara sipas kateg</w:t>
      </w:r>
      <w:r w:rsidR="00A21D52">
        <w:t>orive të</w:t>
      </w:r>
      <w:r w:rsidRPr="008C1D0F">
        <w:t xml:space="preserve"> shpenzimeve, përkundrejt totalit të buxhetit, si dhe raporti i sh</w:t>
      </w:r>
      <w:r w:rsidR="00A21D52">
        <w:t xml:space="preserve">penzimeve faktike të programit </w:t>
      </w:r>
      <w:r w:rsidRPr="008C1D0F">
        <w:t>në % dhe vlerë, i secilës kategori shpenzimesh, përkundrejt planit të buxhetit të akorduar.</w:t>
      </w:r>
    </w:p>
    <w:p w:rsidR="00E33BEF" w:rsidRPr="008C1D0F" w:rsidRDefault="00E33BEF" w:rsidP="00E33BEF">
      <w:pPr>
        <w:tabs>
          <w:tab w:val="left" w:pos="2038"/>
        </w:tabs>
      </w:pPr>
    </w:p>
    <w:p w:rsidR="00E33BEF" w:rsidRPr="008C1D0F" w:rsidRDefault="00E33BEF" w:rsidP="00E33BEF">
      <w:pPr>
        <w:pStyle w:val="BodyText3"/>
        <w:spacing w:line="276" w:lineRule="auto"/>
        <w:jc w:val="center"/>
        <w:rPr>
          <w:rFonts w:ascii="Times New Roman" w:hAnsi="Times New Roman"/>
          <w:b/>
          <w:color w:val="0D0D0D" w:themeColor="text1" w:themeTint="F2"/>
          <w:sz w:val="24"/>
          <w:szCs w:val="24"/>
        </w:rPr>
      </w:pPr>
      <w:r w:rsidRPr="008C1D0F">
        <w:rPr>
          <w:rFonts w:ascii="Times New Roman" w:hAnsi="Times New Roman"/>
          <w:b/>
          <w:color w:val="0D0D0D" w:themeColor="text1" w:themeTint="F2"/>
          <w:sz w:val="24"/>
          <w:szCs w:val="24"/>
        </w:rPr>
        <w:t>TABELA E AKORDIMIT TË BUXHETIT DHE REALIZIMIT</w:t>
      </w:r>
    </w:p>
    <w:p w:rsidR="00E33BEF" w:rsidRPr="008C1D0F" w:rsidRDefault="00E33BEF" w:rsidP="00E33BEF">
      <w:pPr>
        <w:pStyle w:val="BodyText3"/>
        <w:spacing w:line="276" w:lineRule="auto"/>
        <w:jc w:val="center"/>
        <w:rPr>
          <w:rFonts w:ascii="Times New Roman" w:hAnsi="Times New Roman"/>
          <w:b/>
          <w:color w:val="0D0D0D" w:themeColor="text1" w:themeTint="F2"/>
          <w:sz w:val="24"/>
          <w:szCs w:val="24"/>
        </w:rPr>
      </w:pPr>
      <w:r w:rsidRPr="008C1D0F">
        <w:rPr>
          <w:rFonts w:ascii="Times New Roman" w:hAnsi="Times New Roman"/>
          <w:b/>
          <w:color w:val="0D0D0D" w:themeColor="text1" w:themeTint="F2"/>
          <w:sz w:val="24"/>
          <w:szCs w:val="24"/>
        </w:rPr>
        <w:t xml:space="preserve">i ndryshuar </w:t>
      </w:r>
    </w:p>
    <w:p w:rsidR="00E33BEF" w:rsidRPr="008C1D0F" w:rsidRDefault="00E33BEF" w:rsidP="00E33BEF">
      <w:pPr>
        <w:pStyle w:val="BodyText3"/>
        <w:spacing w:line="276" w:lineRule="auto"/>
        <w:ind w:left="1440" w:firstLine="720"/>
        <w:rPr>
          <w:rFonts w:ascii="Times New Roman" w:hAnsi="Times New Roman"/>
          <w:b/>
          <w:color w:val="244061"/>
          <w:sz w:val="24"/>
          <w:szCs w:val="24"/>
        </w:rPr>
      </w:pPr>
      <w:r w:rsidRPr="008C1D0F">
        <w:rPr>
          <w:rFonts w:ascii="Times New Roman" w:hAnsi="Times New Roman"/>
          <w:b/>
          <w:color w:val="244061"/>
          <w:sz w:val="24"/>
          <w:szCs w:val="24"/>
        </w:rPr>
        <w:t xml:space="preserve">VITI </w:t>
      </w:r>
      <w:r w:rsidRPr="008C1D0F">
        <w:rPr>
          <w:rFonts w:ascii="Times New Roman" w:hAnsi="Times New Roman"/>
          <w:b/>
          <w:color w:val="244061"/>
          <w:sz w:val="24"/>
          <w:szCs w:val="24"/>
        </w:rPr>
        <w:tab/>
        <w:t>2020</w:t>
      </w:r>
      <w:r w:rsidRPr="008C1D0F">
        <w:rPr>
          <w:rFonts w:ascii="Times New Roman" w:hAnsi="Times New Roman"/>
          <w:b/>
          <w:color w:val="215868"/>
          <w:sz w:val="24"/>
          <w:szCs w:val="24"/>
        </w:rPr>
        <w:tab/>
      </w:r>
      <w:r w:rsidRPr="008C1D0F">
        <w:rPr>
          <w:rFonts w:ascii="Times New Roman" w:hAnsi="Times New Roman"/>
          <w:color w:val="215868"/>
          <w:sz w:val="24"/>
          <w:szCs w:val="24"/>
        </w:rPr>
        <w:tab/>
        <w:t xml:space="preserve">  </w:t>
      </w:r>
      <w:r w:rsidRPr="008C1D0F">
        <w:rPr>
          <w:rFonts w:ascii="Times New Roman" w:hAnsi="Times New Roman"/>
          <w:color w:val="215868"/>
          <w:sz w:val="24"/>
          <w:szCs w:val="24"/>
        </w:rPr>
        <w:tab/>
        <w:t xml:space="preserve">    </w:t>
      </w:r>
      <w:r w:rsidRPr="008C1D0F">
        <w:rPr>
          <w:rFonts w:ascii="Times New Roman" w:hAnsi="Times New Roman"/>
          <w:b/>
          <w:color w:val="244061"/>
          <w:sz w:val="24"/>
          <w:szCs w:val="24"/>
        </w:rPr>
        <w:t>000 / lekë</w:t>
      </w:r>
    </w:p>
    <w:tbl>
      <w:tblPr>
        <w:tblStyle w:val="GridTable4-Accent6"/>
        <w:tblW w:w="8455" w:type="dxa"/>
        <w:tblLayout w:type="fixed"/>
        <w:tblLook w:val="0000" w:firstRow="0" w:lastRow="0" w:firstColumn="0" w:lastColumn="0" w:noHBand="0" w:noVBand="0"/>
      </w:tblPr>
      <w:tblGrid>
        <w:gridCol w:w="535"/>
        <w:gridCol w:w="2615"/>
        <w:gridCol w:w="1075"/>
        <w:gridCol w:w="1530"/>
        <w:gridCol w:w="1080"/>
        <w:gridCol w:w="1620"/>
      </w:tblGrid>
      <w:tr w:rsidR="00E33BEF" w:rsidRPr="008C1D0F" w:rsidTr="000F7C1E">
        <w:trPr>
          <w:cnfStyle w:val="000000100000" w:firstRow="0" w:lastRow="0" w:firstColumn="0" w:lastColumn="0" w:oddVBand="0" w:evenVBand="0" w:oddHBand="1" w:evenHBand="0" w:firstRowFirstColumn="0" w:firstRowLastColumn="0" w:lastRowFirstColumn="0" w:lastRowLastColumn="0"/>
          <w:trHeight w:val="1176"/>
        </w:trPr>
        <w:tc>
          <w:tcPr>
            <w:cnfStyle w:val="000010000000" w:firstRow="0" w:lastRow="0" w:firstColumn="0" w:lastColumn="0" w:oddVBand="1" w:evenVBand="0" w:oddHBand="0" w:evenHBand="0" w:firstRowFirstColumn="0" w:firstRowLastColumn="0" w:lastRowFirstColumn="0" w:lastRowLastColumn="0"/>
            <w:tcW w:w="535" w:type="dxa"/>
          </w:tcPr>
          <w:p w:rsidR="00E33BEF" w:rsidRPr="008C1D0F" w:rsidRDefault="00E33BEF" w:rsidP="000F7C1E">
            <w:pPr>
              <w:pStyle w:val="BodyText3"/>
              <w:spacing w:line="276" w:lineRule="auto"/>
              <w:ind w:left="-15" w:firstLine="15"/>
              <w:rPr>
                <w:rFonts w:ascii="Times New Roman" w:hAnsi="Times New Roman"/>
                <w:b/>
                <w:color w:val="000000"/>
                <w:sz w:val="24"/>
                <w:szCs w:val="24"/>
              </w:rPr>
            </w:pPr>
            <w:r w:rsidRPr="008C1D0F">
              <w:rPr>
                <w:rFonts w:ascii="Times New Roman" w:hAnsi="Times New Roman"/>
                <w:b/>
                <w:color w:val="000000"/>
                <w:sz w:val="24"/>
                <w:szCs w:val="24"/>
              </w:rPr>
              <w:t>Nr.</w:t>
            </w:r>
          </w:p>
        </w:tc>
        <w:tc>
          <w:tcPr>
            <w:tcW w:w="2615" w:type="dxa"/>
          </w:tcPr>
          <w:p w:rsidR="00E33BEF" w:rsidRPr="008C1D0F" w:rsidRDefault="00E33BEF" w:rsidP="000F7C1E">
            <w:pPr>
              <w:pStyle w:val="BodyText3"/>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sidRPr="008C1D0F">
              <w:rPr>
                <w:rFonts w:ascii="Times New Roman" w:hAnsi="Times New Roman"/>
                <w:b/>
                <w:color w:val="000000"/>
                <w:sz w:val="24"/>
                <w:szCs w:val="24"/>
              </w:rPr>
              <w:t>EMËRTIMI</w:t>
            </w:r>
          </w:p>
        </w:tc>
        <w:tc>
          <w:tcPr>
            <w:cnfStyle w:val="000010000000" w:firstRow="0" w:lastRow="0" w:firstColumn="0" w:lastColumn="0" w:oddVBand="1" w:evenVBand="0" w:oddHBand="0" w:evenHBand="0" w:firstRowFirstColumn="0" w:firstRowLastColumn="0" w:lastRowFirstColumn="0" w:lastRowLastColumn="0"/>
            <w:tcW w:w="1075" w:type="dxa"/>
          </w:tcPr>
          <w:p w:rsidR="00E33BEF" w:rsidRPr="008C1D0F" w:rsidRDefault="00E33BEF" w:rsidP="000F7C1E">
            <w:pPr>
              <w:pStyle w:val="BodyText3"/>
              <w:spacing w:line="276" w:lineRule="auto"/>
              <w:rPr>
                <w:rFonts w:ascii="Times New Roman" w:hAnsi="Times New Roman"/>
                <w:b/>
                <w:color w:val="000000"/>
                <w:sz w:val="24"/>
                <w:szCs w:val="24"/>
              </w:rPr>
            </w:pPr>
            <w:r w:rsidRPr="008C1D0F">
              <w:rPr>
                <w:rFonts w:ascii="Times New Roman" w:hAnsi="Times New Roman"/>
                <w:b/>
                <w:color w:val="000000"/>
                <w:sz w:val="24"/>
                <w:szCs w:val="24"/>
              </w:rPr>
              <w:t>PLAN</w:t>
            </w:r>
          </w:p>
        </w:tc>
        <w:tc>
          <w:tcPr>
            <w:tcW w:w="1530" w:type="dxa"/>
          </w:tcPr>
          <w:p w:rsidR="00E33BEF" w:rsidRPr="008C1D0F" w:rsidRDefault="00E33BEF" w:rsidP="000F7C1E">
            <w:pPr>
              <w:pStyle w:val="BodyText3"/>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sidRPr="008C1D0F">
              <w:rPr>
                <w:rFonts w:ascii="Times New Roman" w:hAnsi="Times New Roman"/>
                <w:b/>
                <w:color w:val="000000"/>
                <w:sz w:val="24"/>
                <w:szCs w:val="24"/>
              </w:rPr>
              <w:t>%</w:t>
            </w:r>
          </w:p>
          <w:p w:rsidR="00E33BEF" w:rsidRPr="008C1D0F" w:rsidRDefault="00E33BEF" w:rsidP="000F7C1E">
            <w:pPr>
              <w:pStyle w:val="BodyText3"/>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sidRPr="008C1D0F">
              <w:rPr>
                <w:rFonts w:ascii="Times New Roman" w:hAnsi="Times New Roman"/>
                <w:b/>
                <w:color w:val="000000"/>
                <w:sz w:val="24"/>
                <w:szCs w:val="24"/>
              </w:rPr>
              <w:t>kundrejt totalit</w:t>
            </w:r>
          </w:p>
        </w:tc>
        <w:tc>
          <w:tcPr>
            <w:cnfStyle w:val="000010000000" w:firstRow="0" w:lastRow="0" w:firstColumn="0" w:lastColumn="0" w:oddVBand="1" w:evenVBand="0" w:oddHBand="0" w:evenHBand="0" w:firstRowFirstColumn="0" w:firstRowLastColumn="0" w:lastRowFirstColumn="0" w:lastRowLastColumn="0"/>
            <w:tcW w:w="1080" w:type="dxa"/>
          </w:tcPr>
          <w:p w:rsidR="00E33BEF" w:rsidRPr="008C1D0F" w:rsidRDefault="00E33BEF" w:rsidP="000F7C1E">
            <w:pPr>
              <w:pStyle w:val="BodyText3"/>
              <w:spacing w:line="276" w:lineRule="auto"/>
              <w:rPr>
                <w:rFonts w:ascii="Times New Roman" w:hAnsi="Times New Roman"/>
                <w:b/>
                <w:color w:val="000000"/>
                <w:sz w:val="24"/>
                <w:szCs w:val="24"/>
              </w:rPr>
            </w:pPr>
            <w:r w:rsidRPr="008C1D0F">
              <w:rPr>
                <w:rFonts w:ascii="Times New Roman" w:hAnsi="Times New Roman"/>
                <w:b/>
                <w:color w:val="000000"/>
                <w:sz w:val="24"/>
                <w:szCs w:val="24"/>
              </w:rPr>
              <w:t>Fakt  12 mujor</w:t>
            </w:r>
          </w:p>
        </w:tc>
        <w:tc>
          <w:tcPr>
            <w:tcW w:w="1620" w:type="dxa"/>
          </w:tcPr>
          <w:p w:rsidR="00E33BEF" w:rsidRPr="008C1D0F" w:rsidRDefault="00E33BEF" w:rsidP="000F7C1E">
            <w:pPr>
              <w:pStyle w:val="BodyText3"/>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sidRPr="008C1D0F">
              <w:rPr>
                <w:rFonts w:ascii="Times New Roman" w:hAnsi="Times New Roman"/>
                <w:b/>
                <w:color w:val="000000"/>
                <w:sz w:val="24"/>
                <w:szCs w:val="24"/>
              </w:rPr>
              <w:t xml:space="preserve">% realizimi kundrejt planit  vjetor </w:t>
            </w:r>
          </w:p>
        </w:tc>
      </w:tr>
      <w:tr w:rsidR="00E33BEF" w:rsidRPr="008C1D0F" w:rsidTr="000F7C1E">
        <w:tc>
          <w:tcPr>
            <w:cnfStyle w:val="000010000000" w:firstRow="0" w:lastRow="0" w:firstColumn="0" w:lastColumn="0" w:oddVBand="1" w:evenVBand="0" w:oddHBand="0" w:evenHBand="0" w:firstRowFirstColumn="0" w:firstRowLastColumn="0" w:lastRowFirstColumn="0" w:lastRowLastColumn="0"/>
            <w:tcW w:w="535" w:type="dxa"/>
          </w:tcPr>
          <w:p w:rsidR="00E33BEF" w:rsidRPr="008C1D0F" w:rsidRDefault="00E33BEF" w:rsidP="000F7C1E">
            <w:pPr>
              <w:pStyle w:val="BodyText3"/>
              <w:spacing w:line="276" w:lineRule="auto"/>
              <w:rPr>
                <w:rFonts w:ascii="Times New Roman" w:hAnsi="Times New Roman"/>
                <w:color w:val="000000"/>
                <w:sz w:val="24"/>
                <w:szCs w:val="24"/>
              </w:rPr>
            </w:pPr>
            <w:r w:rsidRPr="008C1D0F">
              <w:rPr>
                <w:rFonts w:ascii="Times New Roman" w:hAnsi="Times New Roman"/>
                <w:color w:val="000000"/>
                <w:sz w:val="24"/>
                <w:szCs w:val="24"/>
              </w:rPr>
              <w:t>1</w:t>
            </w:r>
          </w:p>
        </w:tc>
        <w:tc>
          <w:tcPr>
            <w:tcW w:w="2615" w:type="dxa"/>
          </w:tcPr>
          <w:p w:rsidR="00E33BEF" w:rsidRPr="008C1D0F" w:rsidRDefault="00E33BEF" w:rsidP="000F7C1E">
            <w:pPr>
              <w:pStyle w:val="BodyText3"/>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C1D0F">
              <w:rPr>
                <w:rFonts w:ascii="Times New Roman" w:hAnsi="Times New Roman"/>
                <w:color w:val="000000"/>
                <w:sz w:val="24"/>
                <w:szCs w:val="24"/>
              </w:rPr>
              <w:t>Paga</w:t>
            </w:r>
          </w:p>
        </w:tc>
        <w:tc>
          <w:tcPr>
            <w:cnfStyle w:val="000010000000" w:firstRow="0" w:lastRow="0" w:firstColumn="0" w:lastColumn="0" w:oddVBand="1" w:evenVBand="0" w:oddHBand="0" w:evenHBand="0" w:firstRowFirstColumn="0" w:firstRowLastColumn="0" w:lastRowFirstColumn="0" w:lastRowLastColumn="0"/>
            <w:tcW w:w="1075" w:type="dxa"/>
          </w:tcPr>
          <w:p w:rsidR="00E33BEF" w:rsidRPr="008C1D0F" w:rsidRDefault="00E33BEF" w:rsidP="000F7C1E">
            <w:pPr>
              <w:spacing w:line="276" w:lineRule="auto"/>
              <w:jc w:val="center"/>
            </w:pPr>
            <w:r w:rsidRPr="008C1D0F">
              <w:t>43.926</w:t>
            </w:r>
          </w:p>
        </w:tc>
        <w:tc>
          <w:tcPr>
            <w:tcW w:w="1530" w:type="dxa"/>
          </w:tcPr>
          <w:p w:rsidR="00E33BEF" w:rsidRPr="008C1D0F" w:rsidRDefault="00E33BEF" w:rsidP="000F7C1E">
            <w:pPr>
              <w:spacing w:line="276" w:lineRule="auto"/>
              <w:jc w:val="center"/>
              <w:cnfStyle w:val="000000000000" w:firstRow="0" w:lastRow="0" w:firstColumn="0" w:lastColumn="0" w:oddVBand="0" w:evenVBand="0" w:oddHBand="0" w:evenHBand="0" w:firstRowFirstColumn="0" w:firstRowLastColumn="0" w:lastRowFirstColumn="0" w:lastRowLastColumn="0"/>
            </w:pPr>
            <w:r w:rsidRPr="008C1D0F">
              <w:t xml:space="preserve"> 66 %</w:t>
            </w:r>
          </w:p>
        </w:tc>
        <w:tc>
          <w:tcPr>
            <w:cnfStyle w:val="000010000000" w:firstRow="0" w:lastRow="0" w:firstColumn="0" w:lastColumn="0" w:oddVBand="1" w:evenVBand="0" w:oddHBand="0" w:evenHBand="0" w:firstRowFirstColumn="0" w:firstRowLastColumn="0" w:lastRowFirstColumn="0" w:lastRowLastColumn="0"/>
            <w:tcW w:w="1080" w:type="dxa"/>
          </w:tcPr>
          <w:p w:rsidR="00E33BEF" w:rsidRPr="008C1D0F" w:rsidRDefault="00E33BEF" w:rsidP="000F7C1E">
            <w:pPr>
              <w:spacing w:line="276" w:lineRule="auto"/>
              <w:jc w:val="center"/>
              <w:rPr>
                <w:color w:val="0D0D0D" w:themeColor="text1" w:themeTint="F2"/>
              </w:rPr>
            </w:pPr>
            <w:r w:rsidRPr="008C1D0F">
              <w:rPr>
                <w:color w:val="0D0D0D" w:themeColor="text1" w:themeTint="F2"/>
              </w:rPr>
              <w:t>43.758</w:t>
            </w:r>
          </w:p>
        </w:tc>
        <w:tc>
          <w:tcPr>
            <w:tcW w:w="1620" w:type="dxa"/>
          </w:tcPr>
          <w:p w:rsidR="00E33BEF" w:rsidRPr="008C1D0F" w:rsidRDefault="00E33BEF" w:rsidP="000F7C1E">
            <w:pPr>
              <w:spacing w:line="276" w:lineRule="auto"/>
              <w:jc w:val="center"/>
              <w:cnfStyle w:val="000000000000" w:firstRow="0" w:lastRow="0" w:firstColumn="0" w:lastColumn="0" w:oddVBand="0" w:evenVBand="0" w:oddHBand="0" w:evenHBand="0" w:firstRowFirstColumn="0" w:firstRowLastColumn="0" w:lastRowFirstColumn="0" w:lastRowLastColumn="0"/>
            </w:pPr>
            <w:r w:rsidRPr="008C1D0F">
              <w:t>99.6 %</w:t>
            </w:r>
          </w:p>
        </w:tc>
      </w:tr>
      <w:tr w:rsidR="00E33BEF" w:rsidRPr="008C1D0F" w:rsidTr="000F7C1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5" w:type="dxa"/>
          </w:tcPr>
          <w:p w:rsidR="00E33BEF" w:rsidRPr="008C1D0F" w:rsidRDefault="00E33BEF" w:rsidP="000F7C1E">
            <w:pPr>
              <w:pStyle w:val="BodyText3"/>
              <w:spacing w:line="276" w:lineRule="auto"/>
              <w:rPr>
                <w:rFonts w:ascii="Times New Roman" w:hAnsi="Times New Roman"/>
                <w:color w:val="000000"/>
                <w:sz w:val="24"/>
                <w:szCs w:val="24"/>
              </w:rPr>
            </w:pPr>
            <w:r w:rsidRPr="008C1D0F">
              <w:rPr>
                <w:rFonts w:ascii="Times New Roman" w:hAnsi="Times New Roman"/>
                <w:color w:val="000000"/>
                <w:sz w:val="24"/>
                <w:szCs w:val="24"/>
              </w:rPr>
              <w:t>2</w:t>
            </w:r>
          </w:p>
        </w:tc>
        <w:tc>
          <w:tcPr>
            <w:tcW w:w="2615" w:type="dxa"/>
          </w:tcPr>
          <w:p w:rsidR="00E33BEF" w:rsidRPr="008C1D0F" w:rsidRDefault="00E33BEF" w:rsidP="000F7C1E">
            <w:pPr>
              <w:pStyle w:val="BodyText3"/>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C1D0F">
              <w:rPr>
                <w:rFonts w:ascii="Times New Roman" w:hAnsi="Times New Roman"/>
                <w:color w:val="000000"/>
                <w:sz w:val="24"/>
                <w:szCs w:val="24"/>
              </w:rPr>
              <w:t>Sigurime shoqërore</w:t>
            </w:r>
          </w:p>
        </w:tc>
        <w:tc>
          <w:tcPr>
            <w:cnfStyle w:val="000010000000" w:firstRow="0" w:lastRow="0" w:firstColumn="0" w:lastColumn="0" w:oddVBand="1" w:evenVBand="0" w:oddHBand="0" w:evenHBand="0" w:firstRowFirstColumn="0" w:firstRowLastColumn="0" w:lastRowFirstColumn="0" w:lastRowLastColumn="0"/>
            <w:tcW w:w="1075" w:type="dxa"/>
          </w:tcPr>
          <w:p w:rsidR="00E33BEF" w:rsidRPr="008C1D0F" w:rsidRDefault="00E33BEF" w:rsidP="000F7C1E">
            <w:pPr>
              <w:spacing w:line="276" w:lineRule="auto"/>
              <w:jc w:val="center"/>
            </w:pPr>
            <w:r w:rsidRPr="008C1D0F">
              <w:t>7.250</w:t>
            </w:r>
          </w:p>
        </w:tc>
        <w:tc>
          <w:tcPr>
            <w:tcW w:w="1530" w:type="dxa"/>
          </w:tcPr>
          <w:p w:rsidR="00E33BEF" w:rsidRPr="008C1D0F" w:rsidRDefault="00E33BEF" w:rsidP="000F7C1E">
            <w:pPr>
              <w:spacing w:line="276" w:lineRule="auto"/>
              <w:jc w:val="center"/>
              <w:cnfStyle w:val="000000100000" w:firstRow="0" w:lastRow="0" w:firstColumn="0" w:lastColumn="0" w:oddVBand="0" w:evenVBand="0" w:oddHBand="1" w:evenHBand="0" w:firstRowFirstColumn="0" w:firstRowLastColumn="0" w:lastRowFirstColumn="0" w:lastRowLastColumn="0"/>
            </w:pPr>
            <w:r w:rsidRPr="008C1D0F">
              <w:t xml:space="preserve">   11  %</w:t>
            </w:r>
          </w:p>
        </w:tc>
        <w:tc>
          <w:tcPr>
            <w:cnfStyle w:val="000010000000" w:firstRow="0" w:lastRow="0" w:firstColumn="0" w:lastColumn="0" w:oddVBand="1" w:evenVBand="0" w:oddHBand="0" w:evenHBand="0" w:firstRowFirstColumn="0" w:firstRowLastColumn="0" w:lastRowFirstColumn="0" w:lastRowLastColumn="0"/>
            <w:tcW w:w="1080" w:type="dxa"/>
          </w:tcPr>
          <w:p w:rsidR="00E33BEF" w:rsidRPr="008C1D0F" w:rsidRDefault="00E33BEF" w:rsidP="000F7C1E">
            <w:pPr>
              <w:spacing w:line="276" w:lineRule="auto"/>
              <w:jc w:val="center"/>
              <w:rPr>
                <w:color w:val="0D0D0D" w:themeColor="text1" w:themeTint="F2"/>
              </w:rPr>
            </w:pPr>
            <w:r w:rsidRPr="008C1D0F">
              <w:rPr>
                <w:color w:val="0D0D0D" w:themeColor="text1" w:themeTint="F2"/>
              </w:rPr>
              <w:t>7171</w:t>
            </w:r>
          </w:p>
        </w:tc>
        <w:tc>
          <w:tcPr>
            <w:tcW w:w="1620" w:type="dxa"/>
          </w:tcPr>
          <w:p w:rsidR="00E33BEF" w:rsidRPr="008C1D0F" w:rsidRDefault="00E33BEF" w:rsidP="000F7C1E">
            <w:pPr>
              <w:spacing w:line="276" w:lineRule="auto"/>
              <w:ind w:left="-135"/>
              <w:jc w:val="center"/>
              <w:cnfStyle w:val="000000100000" w:firstRow="0" w:lastRow="0" w:firstColumn="0" w:lastColumn="0" w:oddVBand="0" w:evenVBand="0" w:oddHBand="1" w:evenHBand="0" w:firstRowFirstColumn="0" w:firstRowLastColumn="0" w:lastRowFirstColumn="0" w:lastRowLastColumn="0"/>
            </w:pPr>
            <w:r w:rsidRPr="008C1D0F">
              <w:t xml:space="preserve">  98.9 %</w:t>
            </w:r>
          </w:p>
        </w:tc>
      </w:tr>
      <w:tr w:rsidR="00E33BEF" w:rsidRPr="008C1D0F" w:rsidTr="000F7C1E">
        <w:tc>
          <w:tcPr>
            <w:cnfStyle w:val="000010000000" w:firstRow="0" w:lastRow="0" w:firstColumn="0" w:lastColumn="0" w:oddVBand="1" w:evenVBand="0" w:oddHBand="0" w:evenHBand="0" w:firstRowFirstColumn="0" w:firstRowLastColumn="0" w:lastRowFirstColumn="0" w:lastRowLastColumn="0"/>
            <w:tcW w:w="535" w:type="dxa"/>
          </w:tcPr>
          <w:p w:rsidR="00E33BEF" w:rsidRPr="008C1D0F" w:rsidRDefault="00E33BEF" w:rsidP="000F7C1E">
            <w:pPr>
              <w:pStyle w:val="BodyText3"/>
              <w:spacing w:line="276" w:lineRule="auto"/>
              <w:rPr>
                <w:rFonts w:ascii="Times New Roman" w:hAnsi="Times New Roman"/>
                <w:color w:val="000000"/>
                <w:sz w:val="24"/>
                <w:szCs w:val="24"/>
              </w:rPr>
            </w:pPr>
            <w:r w:rsidRPr="008C1D0F">
              <w:rPr>
                <w:rFonts w:ascii="Times New Roman" w:hAnsi="Times New Roman"/>
                <w:color w:val="000000"/>
                <w:sz w:val="24"/>
                <w:szCs w:val="24"/>
              </w:rPr>
              <w:t>3</w:t>
            </w:r>
          </w:p>
        </w:tc>
        <w:tc>
          <w:tcPr>
            <w:tcW w:w="2615" w:type="dxa"/>
          </w:tcPr>
          <w:p w:rsidR="00E33BEF" w:rsidRPr="008C1D0F" w:rsidRDefault="00E33BEF" w:rsidP="000F7C1E">
            <w:pPr>
              <w:pStyle w:val="BodyText3"/>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C1D0F">
              <w:rPr>
                <w:rFonts w:ascii="Times New Roman" w:hAnsi="Times New Roman"/>
                <w:color w:val="000000"/>
                <w:sz w:val="24"/>
                <w:szCs w:val="24"/>
              </w:rPr>
              <w:t>Mallra e shërbime të tjera</w:t>
            </w:r>
          </w:p>
        </w:tc>
        <w:tc>
          <w:tcPr>
            <w:cnfStyle w:val="000010000000" w:firstRow="0" w:lastRow="0" w:firstColumn="0" w:lastColumn="0" w:oddVBand="1" w:evenVBand="0" w:oddHBand="0" w:evenHBand="0" w:firstRowFirstColumn="0" w:firstRowLastColumn="0" w:lastRowFirstColumn="0" w:lastRowLastColumn="0"/>
            <w:tcW w:w="1075" w:type="dxa"/>
          </w:tcPr>
          <w:p w:rsidR="00E33BEF" w:rsidRPr="008C1D0F" w:rsidRDefault="00E33BEF" w:rsidP="000F7C1E">
            <w:pPr>
              <w:spacing w:line="276" w:lineRule="auto"/>
              <w:jc w:val="center"/>
            </w:pPr>
            <w:r w:rsidRPr="008C1D0F">
              <w:t>14.110</w:t>
            </w:r>
          </w:p>
        </w:tc>
        <w:tc>
          <w:tcPr>
            <w:tcW w:w="1530" w:type="dxa"/>
          </w:tcPr>
          <w:p w:rsidR="00E33BEF" w:rsidRPr="008C1D0F" w:rsidRDefault="00E33BEF" w:rsidP="000F7C1E">
            <w:pPr>
              <w:spacing w:line="276" w:lineRule="auto"/>
              <w:jc w:val="center"/>
              <w:cnfStyle w:val="000000000000" w:firstRow="0" w:lastRow="0" w:firstColumn="0" w:lastColumn="0" w:oddVBand="0" w:evenVBand="0" w:oddHBand="0" w:evenHBand="0" w:firstRowFirstColumn="0" w:firstRowLastColumn="0" w:lastRowFirstColumn="0" w:lastRowLastColumn="0"/>
            </w:pPr>
            <w:r w:rsidRPr="008C1D0F">
              <w:t>21 %</w:t>
            </w:r>
          </w:p>
        </w:tc>
        <w:tc>
          <w:tcPr>
            <w:cnfStyle w:val="000010000000" w:firstRow="0" w:lastRow="0" w:firstColumn="0" w:lastColumn="0" w:oddVBand="1" w:evenVBand="0" w:oddHBand="0" w:evenHBand="0" w:firstRowFirstColumn="0" w:firstRowLastColumn="0" w:lastRowFirstColumn="0" w:lastRowLastColumn="0"/>
            <w:tcW w:w="1080" w:type="dxa"/>
          </w:tcPr>
          <w:p w:rsidR="00E33BEF" w:rsidRPr="008C1D0F" w:rsidRDefault="00E33BEF" w:rsidP="000F7C1E">
            <w:pPr>
              <w:spacing w:line="276" w:lineRule="auto"/>
              <w:jc w:val="center"/>
              <w:rPr>
                <w:color w:val="0D0D0D" w:themeColor="text1" w:themeTint="F2"/>
              </w:rPr>
            </w:pPr>
            <w:r w:rsidRPr="008C1D0F">
              <w:rPr>
                <w:color w:val="0D0D0D" w:themeColor="text1" w:themeTint="F2"/>
              </w:rPr>
              <w:t>13.691</w:t>
            </w:r>
          </w:p>
        </w:tc>
        <w:tc>
          <w:tcPr>
            <w:tcW w:w="1620" w:type="dxa"/>
          </w:tcPr>
          <w:p w:rsidR="00E33BEF" w:rsidRPr="008C1D0F" w:rsidRDefault="00E02FC8" w:rsidP="00E02FC8">
            <w:pPr>
              <w:spacing w:line="276" w:lineRule="auto"/>
              <w:cnfStyle w:val="000000000000" w:firstRow="0" w:lastRow="0" w:firstColumn="0" w:lastColumn="0" w:oddVBand="0" w:evenVBand="0" w:oddHBand="0" w:evenHBand="0" w:firstRowFirstColumn="0" w:firstRowLastColumn="0" w:lastRowFirstColumn="0" w:lastRowLastColumn="0"/>
            </w:pPr>
            <w:r w:rsidRPr="008C1D0F">
              <w:t xml:space="preserve">      </w:t>
            </w:r>
            <w:r w:rsidR="00E33BEF" w:rsidRPr="008C1D0F">
              <w:t>97 %</w:t>
            </w:r>
          </w:p>
        </w:tc>
      </w:tr>
      <w:tr w:rsidR="00E33BEF" w:rsidRPr="008C1D0F" w:rsidTr="000F7C1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5" w:type="dxa"/>
          </w:tcPr>
          <w:p w:rsidR="00E33BEF" w:rsidRPr="008C1D0F" w:rsidRDefault="00E33BEF" w:rsidP="000F7C1E">
            <w:pPr>
              <w:pStyle w:val="BodyText3"/>
              <w:spacing w:line="276" w:lineRule="auto"/>
              <w:rPr>
                <w:rFonts w:ascii="Times New Roman" w:hAnsi="Times New Roman"/>
                <w:color w:val="000000"/>
                <w:sz w:val="24"/>
                <w:szCs w:val="24"/>
              </w:rPr>
            </w:pPr>
            <w:r w:rsidRPr="008C1D0F">
              <w:rPr>
                <w:rFonts w:ascii="Times New Roman" w:hAnsi="Times New Roman"/>
                <w:color w:val="000000"/>
                <w:sz w:val="24"/>
                <w:szCs w:val="24"/>
              </w:rPr>
              <w:t>4</w:t>
            </w:r>
          </w:p>
        </w:tc>
        <w:tc>
          <w:tcPr>
            <w:tcW w:w="2615" w:type="dxa"/>
          </w:tcPr>
          <w:p w:rsidR="00E33BEF" w:rsidRPr="008C1D0F" w:rsidRDefault="00E33BEF" w:rsidP="000F7C1E">
            <w:pPr>
              <w:pStyle w:val="BodyText3"/>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C1D0F">
              <w:rPr>
                <w:rFonts w:ascii="Times New Roman" w:hAnsi="Times New Roman"/>
                <w:color w:val="000000"/>
                <w:sz w:val="24"/>
                <w:szCs w:val="24"/>
              </w:rPr>
              <w:t>Investime</w:t>
            </w:r>
          </w:p>
        </w:tc>
        <w:tc>
          <w:tcPr>
            <w:cnfStyle w:val="000010000000" w:firstRow="0" w:lastRow="0" w:firstColumn="0" w:lastColumn="0" w:oddVBand="1" w:evenVBand="0" w:oddHBand="0" w:evenHBand="0" w:firstRowFirstColumn="0" w:firstRowLastColumn="0" w:lastRowFirstColumn="0" w:lastRowLastColumn="0"/>
            <w:tcW w:w="1075" w:type="dxa"/>
          </w:tcPr>
          <w:p w:rsidR="00E33BEF" w:rsidRPr="008C1D0F" w:rsidRDefault="00E33BEF" w:rsidP="000F7C1E">
            <w:pPr>
              <w:spacing w:line="276" w:lineRule="auto"/>
              <w:jc w:val="center"/>
            </w:pPr>
            <w:r w:rsidRPr="008C1D0F">
              <w:t xml:space="preserve">   1.000</w:t>
            </w:r>
          </w:p>
        </w:tc>
        <w:tc>
          <w:tcPr>
            <w:tcW w:w="1530" w:type="dxa"/>
          </w:tcPr>
          <w:p w:rsidR="00E33BEF" w:rsidRPr="008C1D0F" w:rsidRDefault="00E33BEF" w:rsidP="000F7C1E">
            <w:pPr>
              <w:spacing w:line="276" w:lineRule="auto"/>
              <w:jc w:val="center"/>
              <w:cnfStyle w:val="000000100000" w:firstRow="0" w:lastRow="0" w:firstColumn="0" w:lastColumn="0" w:oddVBand="0" w:evenVBand="0" w:oddHBand="1" w:evenHBand="0" w:firstRowFirstColumn="0" w:firstRowLastColumn="0" w:lastRowFirstColumn="0" w:lastRowLastColumn="0"/>
            </w:pPr>
            <w:r w:rsidRPr="008C1D0F">
              <w:t xml:space="preserve">    1.4 %</w:t>
            </w:r>
          </w:p>
        </w:tc>
        <w:tc>
          <w:tcPr>
            <w:cnfStyle w:val="000010000000" w:firstRow="0" w:lastRow="0" w:firstColumn="0" w:lastColumn="0" w:oddVBand="1" w:evenVBand="0" w:oddHBand="0" w:evenHBand="0" w:firstRowFirstColumn="0" w:firstRowLastColumn="0" w:lastRowFirstColumn="0" w:lastRowLastColumn="0"/>
            <w:tcW w:w="1080" w:type="dxa"/>
          </w:tcPr>
          <w:p w:rsidR="00E33BEF" w:rsidRPr="008C1D0F" w:rsidRDefault="00E33BEF" w:rsidP="000F7C1E">
            <w:pPr>
              <w:spacing w:line="276" w:lineRule="auto"/>
              <w:jc w:val="center"/>
              <w:rPr>
                <w:color w:val="0D0D0D" w:themeColor="text1" w:themeTint="F2"/>
              </w:rPr>
            </w:pPr>
            <w:r w:rsidRPr="008C1D0F">
              <w:rPr>
                <w:color w:val="0D0D0D" w:themeColor="text1" w:themeTint="F2"/>
              </w:rPr>
              <w:t>999</w:t>
            </w:r>
          </w:p>
        </w:tc>
        <w:tc>
          <w:tcPr>
            <w:tcW w:w="1620" w:type="dxa"/>
          </w:tcPr>
          <w:p w:rsidR="00E33BEF" w:rsidRPr="008C1D0F" w:rsidRDefault="00E33BEF" w:rsidP="00B242EA">
            <w:pPr>
              <w:spacing w:line="276" w:lineRule="auto"/>
              <w:jc w:val="center"/>
              <w:cnfStyle w:val="000000100000" w:firstRow="0" w:lastRow="0" w:firstColumn="0" w:lastColumn="0" w:oddVBand="0" w:evenVBand="0" w:oddHBand="1" w:evenHBand="0" w:firstRowFirstColumn="0" w:firstRowLastColumn="0" w:lastRowFirstColumn="0" w:lastRowLastColumn="0"/>
            </w:pPr>
            <w:r w:rsidRPr="008C1D0F">
              <w:t>9</w:t>
            </w:r>
            <w:r w:rsidR="00B242EA" w:rsidRPr="008C1D0F">
              <w:t>9</w:t>
            </w:r>
            <w:r w:rsidRPr="008C1D0F">
              <w:t xml:space="preserve">  %</w:t>
            </w:r>
          </w:p>
        </w:tc>
      </w:tr>
      <w:tr w:rsidR="00E33BEF" w:rsidRPr="008C1D0F" w:rsidTr="000F7C1E">
        <w:tc>
          <w:tcPr>
            <w:cnfStyle w:val="000010000000" w:firstRow="0" w:lastRow="0" w:firstColumn="0" w:lastColumn="0" w:oddVBand="1" w:evenVBand="0" w:oddHBand="0" w:evenHBand="0" w:firstRowFirstColumn="0" w:firstRowLastColumn="0" w:lastRowFirstColumn="0" w:lastRowLastColumn="0"/>
            <w:tcW w:w="535" w:type="dxa"/>
          </w:tcPr>
          <w:p w:rsidR="00E33BEF" w:rsidRPr="008C1D0F" w:rsidRDefault="00E33BEF" w:rsidP="000F7C1E">
            <w:pPr>
              <w:pStyle w:val="BodyText3"/>
              <w:spacing w:line="276" w:lineRule="auto"/>
              <w:rPr>
                <w:rFonts w:ascii="Times New Roman" w:hAnsi="Times New Roman"/>
                <w:color w:val="000000"/>
                <w:sz w:val="24"/>
                <w:szCs w:val="24"/>
              </w:rPr>
            </w:pPr>
            <w:r w:rsidRPr="008C1D0F">
              <w:rPr>
                <w:rFonts w:ascii="Times New Roman" w:hAnsi="Times New Roman"/>
                <w:color w:val="000000"/>
                <w:sz w:val="24"/>
                <w:szCs w:val="24"/>
              </w:rPr>
              <w:t>5</w:t>
            </w:r>
          </w:p>
        </w:tc>
        <w:tc>
          <w:tcPr>
            <w:tcW w:w="2615" w:type="dxa"/>
          </w:tcPr>
          <w:p w:rsidR="00E33BEF" w:rsidRPr="008C1D0F" w:rsidRDefault="00E33BEF" w:rsidP="000F7C1E">
            <w:pPr>
              <w:pStyle w:val="BodyText3"/>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C1D0F">
              <w:rPr>
                <w:rFonts w:ascii="Times New Roman" w:hAnsi="Times New Roman"/>
                <w:color w:val="000000"/>
                <w:sz w:val="24"/>
                <w:szCs w:val="24"/>
              </w:rPr>
              <w:t xml:space="preserve">Transferta te buxhetet familjare  </w:t>
            </w:r>
          </w:p>
        </w:tc>
        <w:tc>
          <w:tcPr>
            <w:cnfStyle w:val="000010000000" w:firstRow="0" w:lastRow="0" w:firstColumn="0" w:lastColumn="0" w:oddVBand="1" w:evenVBand="0" w:oddHBand="0" w:evenHBand="0" w:firstRowFirstColumn="0" w:firstRowLastColumn="0" w:lastRowFirstColumn="0" w:lastRowLastColumn="0"/>
            <w:tcW w:w="1075" w:type="dxa"/>
          </w:tcPr>
          <w:p w:rsidR="00E33BEF" w:rsidRPr="008C1D0F" w:rsidRDefault="00E33BEF" w:rsidP="000F7C1E">
            <w:pPr>
              <w:spacing w:line="276" w:lineRule="auto"/>
              <w:jc w:val="center"/>
            </w:pPr>
            <w:r w:rsidRPr="008C1D0F">
              <w:t xml:space="preserve">       440</w:t>
            </w:r>
          </w:p>
        </w:tc>
        <w:tc>
          <w:tcPr>
            <w:tcW w:w="1530" w:type="dxa"/>
          </w:tcPr>
          <w:p w:rsidR="00E33BEF" w:rsidRPr="008C1D0F" w:rsidRDefault="00E33BEF" w:rsidP="000F7C1E">
            <w:pPr>
              <w:spacing w:line="276" w:lineRule="auto"/>
              <w:jc w:val="center"/>
              <w:cnfStyle w:val="000000000000" w:firstRow="0" w:lastRow="0" w:firstColumn="0" w:lastColumn="0" w:oddVBand="0" w:evenVBand="0" w:oddHBand="0" w:evenHBand="0" w:firstRowFirstColumn="0" w:firstRowLastColumn="0" w:lastRowFirstColumn="0" w:lastRowLastColumn="0"/>
            </w:pPr>
            <w:r w:rsidRPr="008C1D0F">
              <w:t xml:space="preserve">    0.5 %</w:t>
            </w:r>
          </w:p>
        </w:tc>
        <w:tc>
          <w:tcPr>
            <w:cnfStyle w:val="000010000000" w:firstRow="0" w:lastRow="0" w:firstColumn="0" w:lastColumn="0" w:oddVBand="1" w:evenVBand="0" w:oddHBand="0" w:evenHBand="0" w:firstRowFirstColumn="0" w:firstRowLastColumn="0" w:lastRowFirstColumn="0" w:lastRowLastColumn="0"/>
            <w:tcW w:w="1080" w:type="dxa"/>
          </w:tcPr>
          <w:p w:rsidR="00E33BEF" w:rsidRPr="008C1D0F" w:rsidRDefault="00E33BEF" w:rsidP="000F7C1E">
            <w:pPr>
              <w:spacing w:line="276" w:lineRule="auto"/>
              <w:jc w:val="center"/>
              <w:rPr>
                <w:color w:val="0D0D0D" w:themeColor="text1" w:themeTint="F2"/>
              </w:rPr>
            </w:pPr>
            <w:r w:rsidRPr="008C1D0F">
              <w:rPr>
                <w:color w:val="0D0D0D" w:themeColor="text1" w:themeTint="F2"/>
              </w:rPr>
              <w:t>270</w:t>
            </w:r>
          </w:p>
        </w:tc>
        <w:tc>
          <w:tcPr>
            <w:tcW w:w="1620" w:type="dxa"/>
          </w:tcPr>
          <w:p w:rsidR="00E33BEF" w:rsidRPr="008C1D0F" w:rsidRDefault="00E33BEF" w:rsidP="000F7C1E">
            <w:pPr>
              <w:spacing w:line="276" w:lineRule="auto"/>
              <w:jc w:val="center"/>
              <w:cnfStyle w:val="000000000000" w:firstRow="0" w:lastRow="0" w:firstColumn="0" w:lastColumn="0" w:oddVBand="0" w:evenVBand="0" w:oddHBand="0" w:evenHBand="0" w:firstRowFirstColumn="0" w:firstRowLastColumn="0" w:lastRowFirstColumn="0" w:lastRowLastColumn="0"/>
            </w:pPr>
            <w:r w:rsidRPr="008C1D0F">
              <w:t>61  %</w:t>
            </w:r>
          </w:p>
        </w:tc>
      </w:tr>
      <w:tr w:rsidR="00E33BEF" w:rsidRPr="008C1D0F" w:rsidTr="000F7C1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5" w:type="dxa"/>
          </w:tcPr>
          <w:p w:rsidR="00E33BEF" w:rsidRPr="008C1D0F" w:rsidRDefault="00E33BEF" w:rsidP="000F7C1E">
            <w:pPr>
              <w:pStyle w:val="BodyText3"/>
              <w:spacing w:line="276" w:lineRule="auto"/>
              <w:rPr>
                <w:rFonts w:ascii="Times New Roman" w:hAnsi="Times New Roman"/>
                <w:color w:val="000000"/>
                <w:sz w:val="24"/>
                <w:szCs w:val="24"/>
              </w:rPr>
            </w:pPr>
            <w:r w:rsidRPr="008C1D0F">
              <w:rPr>
                <w:rFonts w:ascii="Times New Roman" w:hAnsi="Times New Roman"/>
                <w:color w:val="000000"/>
                <w:sz w:val="24"/>
                <w:szCs w:val="24"/>
              </w:rPr>
              <w:t>6</w:t>
            </w:r>
          </w:p>
        </w:tc>
        <w:tc>
          <w:tcPr>
            <w:tcW w:w="2615" w:type="dxa"/>
          </w:tcPr>
          <w:p w:rsidR="00E33BEF" w:rsidRPr="008C1D0F" w:rsidRDefault="00E33BEF" w:rsidP="000F7C1E">
            <w:pPr>
              <w:pStyle w:val="BodyText3"/>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sidRPr="008C1D0F">
              <w:rPr>
                <w:rFonts w:ascii="Times New Roman" w:hAnsi="Times New Roman"/>
                <w:b/>
                <w:color w:val="000000"/>
                <w:sz w:val="24"/>
                <w:szCs w:val="24"/>
              </w:rPr>
              <w:t xml:space="preserve">Kuotizacion </w:t>
            </w:r>
          </w:p>
        </w:tc>
        <w:tc>
          <w:tcPr>
            <w:cnfStyle w:val="000010000000" w:firstRow="0" w:lastRow="0" w:firstColumn="0" w:lastColumn="0" w:oddVBand="1" w:evenVBand="0" w:oddHBand="0" w:evenHBand="0" w:firstRowFirstColumn="0" w:firstRowLastColumn="0" w:lastRowFirstColumn="0" w:lastRowLastColumn="0"/>
            <w:tcW w:w="1075" w:type="dxa"/>
          </w:tcPr>
          <w:p w:rsidR="00E33BEF" w:rsidRPr="008C1D0F" w:rsidRDefault="00E33BEF" w:rsidP="000F7C1E">
            <w:pPr>
              <w:spacing w:line="276" w:lineRule="auto"/>
              <w:jc w:val="center"/>
            </w:pPr>
            <w:r w:rsidRPr="008C1D0F">
              <w:t xml:space="preserve">       100</w:t>
            </w:r>
          </w:p>
        </w:tc>
        <w:tc>
          <w:tcPr>
            <w:tcW w:w="1530" w:type="dxa"/>
          </w:tcPr>
          <w:p w:rsidR="00E33BEF" w:rsidRPr="008C1D0F" w:rsidRDefault="00E33BEF" w:rsidP="000F7C1E">
            <w:pPr>
              <w:spacing w:line="276" w:lineRule="auto"/>
              <w:jc w:val="center"/>
              <w:cnfStyle w:val="000000100000" w:firstRow="0" w:lastRow="0" w:firstColumn="0" w:lastColumn="0" w:oddVBand="0" w:evenVBand="0" w:oddHBand="1" w:evenHBand="0" w:firstRowFirstColumn="0" w:firstRowLastColumn="0" w:lastRowFirstColumn="0" w:lastRowLastColumn="0"/>
            </w:pPr>
            <w:r w:rsidRPr="008C1D0F">
              <w:t xml:space="preserve">    0.1%</w:t>
            </w:r>
          </w:p>
        </w:tc>
        <w:tc>
          <w:tcPr>
            <w:cnfStyle w:val="000010000000" w:firstRow="0" w:lastRow="0" w:firstColumn="0" w:lastColumn="0" w:oddVBand="1" w:evenVBand="0" w:oddHBand="0" w:evenHBand="0" w:firstRowFirstColumn="0" w:firstRowLastColumn="0" w:lastRowFirstColumn="0" w:lastRowLastColumn="0"/>
            <w:tcW w:w="1080" w:type="dxa"/>
          </w:tcPr>
          <w:p w:rsidR="00E33BEF" w:rsidRPr="008C1D0F" w:rsidRDefault="00E33BEF" w:rsidP="000F7C1E">
            <w:pPr>
              <w:spacing w:line="276" w:lineRule="auto"/>
              <w:jc w:val="center"/>
              <w:rPr>
                <w:color w:val="0D0D0D" w:themeColor="text1" w:themeTint="F2"/>
              </w:rPr>
            </w:pPr>
            <w:r w:rsidRPr="008C1D0F">
              <w:rPr>
                <w:color w:val="0D0D0D" w:themeColor="text1" w:themeTint="F2"/>
              </w:rPr>
              <w:t xml:space="preserve">   76</w:t>
            </w:r>
          </w:p>
        </w:tc>
        <w:tc>
          <w:tcPr>
            <w:tcW w:w="1620" w:type="dxa"/>
          </w:tcPr>
          <w:p w:rsidR="00E33BEF" w:rsidRPr="008C1D0F" w:rsidRDefault="00E33BEF" w:rsidP="000F7C1E">
            <w:pPr>
              <w:spacing w:line="276" w:lineRule="auto"/>
              <w:jc w:val="center"/>
              <w:cnfStyle w:val="000000100000" w:firstRow="0" w:lastRow="0" w:firstColumn="0" w:lastColumn="0" w:oddVBand="0" w:evenVBand="0" w:oddHBand="1" w:evenHBand="0" w:firstRowFirstColumn="0" w:firstRowLastColumn="0" w:lastRowFirstColumn="0" w:lastRowLastColumn="0"/>
            </w:pPr>
            <w:r w:rsidRPr="008C1D0F">
              <w:t>76 %</w:t>
            </w:r>
          </w:p>
        </w:tc>
      </w:tr>
      <w:tr w:rsidR="00E33BEF" w:rsidRPr="008C1D0F" w:rsidTr="000F7C1E">
        <w:tc>
          <w:tcPr>
            <w:cnfStyle w:val="000010000000" w:firstRow="0" w:lastRow="0" w:firstColumn="0" w:lastColumn="0" w:oddVBand="1" w:evenVBand="0" w:oddHBand="0" w:evenHBand="0" w:firstRowFirstColumn="0" w:firstRowLastColumn="0" w:lastRowFirstColumn="0" w:lastRowLastColumn="0"/>
            <w:tcW w:w="535" w:type="dxa"/>
          </w:tcPr>
          <w:p w:rsidR="00E33BEF" w:rsidRPr="008C1D0F" w:rsidRDefault="00E33BEF" w:rsidP="000F7C1E">
            <w:pPr>
              <w:pStyle w:val="BodyText3"/>
              <w:spacing w:line="276" w:lineRule="auto"/>
              <w:rPr>
                <w:rFonts w:ascii="Times New Roman" w:hAnsi="Times New Roman"/>
                <w:b/>
                <w:color w:val="000000"/>
                <w:sz w:val="24"/>
                <w:szCs w:val="24"/>
              </w:rPr>
            </w:pPr>
          </w:p>
        </w:tc>
        <w:tc>
          <w:tcPr>
            <w:tcW w:w="2615" w:type="dxa"/>
          </w:tcPr>
          <w:p w:rsidR="00E33BEF" w:rsidRPr="008C1D0F" w:rsidRDefault="00E33BEF" w:rsidP="000F7C1E">
            <w:pPr>
              <w:pStyle w:val="BodyText3"/>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4"/>
                <w:szCs w:val="24"/>
              </w:rPr>
            </w:pPr>
            <w:r w:rsidRPr="008C1D0F">
              <w:rPr>
                <w:rFonts w:ascii="Times New Roman" w:hAnsi="Times New Roman"/>
                <w:b/>
                <w:color w:val="000000"/>
                <w:sz w:val="24"/>
                <w:szCs w:val="24"/>
              </w:rPr>
              <w:t xml:space="preserve">Totali  </w:t>
            </w:r>
          </w:p>
        </w:tc>
        <w:tc>
          <w:tcPr>
            <w:cnfStyle w:val="000010000000" w:firstRow="0" w:lastRow="0" w:firstColumn="0" w:lastColumn="0" w:oddVBand="1" w:evenVBand="0" w:oddHBand="0" w:evenHBand="0" w:firstRowFirstColumn="0" w:firstRowLastColumn="0" w:lastRowFirstColumn="0" w:lastRowLastColumn="0"/>
            <w:tcW w:w="1075" w:type="dxa"/>
          </w:tcPr>
          <w:p w:rsidR="00E33BEF" w:rsidRPr="008C1D0F" w:rsidRDefault="00E33BEF" w:rsidP="000F7C1E">
            <w:pPr>
              <w:pStyle w:val="BodyText3"/>
              <w:spacing w:line="276" w:lineRule="auto"/>
              <w:jc w:val="center"/>
              <w:rPr>
                <w:rFonts w:ascii="Times New Roman" w:hAnsi="Times New Roman"/>
                <w:b/>
                <w:color w:val="000000"/>
                <w:sz w:val="24"/>
                <w:szCs w:val="24"/>
              </w:rPr>
            </w:pPr>
            <w:r w:rsidRPr="008C1D0F">
              <w:rPr>
                <w:rFonts w:ascii="Times New Roman" w:hAnsi="Times New Roman"/>
                <w:b/>
                <w:color w:val="000000"/>
                <w:sz w:val="24"/>
                <w:szCs w:val="24"/>
              </w:rPr>
              <w:t>66.826</w:t>
            </w:r>
          </w:p>
        </w:tc>
        <w:tc>
          <w:tcPr>
            <w:tcW w:w="1530" w:type="dxa"/>
          </w:tcPr>
          <w:p w:rsidR="00E33BEF" w:rsidRPr="008C1D0F" w:rsidRDefault="00E33BEF" w:rsidP="000F7C1E">
            <w:pPr>
              <w:pStyle w:val="BodyText3"/>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4"/>
                <w:szCs w:val="24"/>
              </w:rPr>
            </w:pPr>
            <w:r w:rsidRPr="008C1D0F">
              <w:rPr>
                <w:rFonts w:ascii="Times New Roman" w:hAnsi="Times New Roman"/>
                <w:b/>
                <w:color w:val="000000"/>
                <w:sz w:val="24"/>
                <w:szCs w:val="24"/>
              </w:rPr>
              <w:t>100%</w:t>
            </w:r>
          </w:p>
        </w:tc>
        <w:tc>
          <w:tcPr>
            <w:cnfStyle w:val="000010000000" w:firstRow="0" w:lastRow="0" w:firstColumn="0" w:lastColumn="0" w:oddVBand="1" w:evenVBand="0" w:oddHBand="0" w:evenHBand="0" w:firstRowFirstColumn="0" w:firstRowLastColumn="0" w:lastRowFirstColumn="0" w:lastRowLastColumn="0"/>
            <w:tcW w:w="1080" w:type="dxa"/>
          </w:tcPr>
          <w:p w:rsidR="00E33BEF" w:rsidRPr="008C1D0F" w:rsidRDefault="00E33BEF" w:rsidP="000F7C1E">
            <w:pPr>
              <w:pStyle w:val="BodyText3"/>
              <w:spacing w:line="276" w:lineRule="auto"/>
              <w:jc w:val="center"/>
              <w:rPr>
                <w:rFonts w:ascii="Times New Roman" w:hAnsi="Times New Roman"/>
                <w:b/>
                <w:color w:val="000000"/>
                <w:sz w:val="24"/>
                <w:szCs w:val="24"/>
              </w:rPr>
            </w:pPr>
            <w:r w:rsidRPr="008C1D0F">
              <w:rPr>
                <w:rFonts w:ascii="Times New Roman" w:hAnsi="Times New Roman"/>
                <w:b/>
                <w:color w:val="000000"/>
                <w:sz w:val="24"/>
                <w:szCs w:val="24"/>
              </w:rPr>
              <w:t>65.965</w:t>
            </w:r>
          </w:p>
        </w:tc>
        <w:tc>
          <w:tcPr>
            <w:tcW w:w="1620" w:type="dxa"/>
          </w:tcPr>
          <w:p w:rsidR="00E33BEF" w:rsidRPr="008C1D0F" w:rsidRDefault="00E33BEF" w:rsidP="000F7C1E">
            <w:pPr>
              <w:pStyle w:val="BodyText3"/>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4"/>
                <w:szCs w:val="24"/>
              </w:rPr>
            </w:pPr>
            <w:r w:rsidRPr="008C1D0F">
              <w:rPr>
                <w:rFonts w:ascii="Times New Roman" w:hAnsi="Times New Roman"/>
                <w:b/>
                <w:color w:val="000000"/>
                <w:sz w:val="24"/>
                <w:szCs w:val="24"/>
              </w:rPr>
              <w:t>98.7 %</w:t>
            </w:r>
          </w:p>
        </w:tc>
      </w:tr>
    </w:tbl>
    <w:p w:rsidR="00E33BEF" w:rsidRDefault="00E33BEF" w:rsidP="00E33BEF">
      <w:pPr>
        <w:jc w:val="both"/>
      </w:pPr>
    </w:p>
    <w:p w:rsidR="00803AB1" w:rsidRPr="008C1D0F" w:rsidRDefault="00803AB1" w:rsidP="00E33BEF">
      <w:pPr>
        <w:jc w:val="both"/>
        <w:rPr>
          <w:b/>
        </w:rPr>
      </w:pPr>
    </w:p>
    <w:p w:rsidR="00E07A12" w:rsidRPr="00803AB1" w:rsidRDefault="00E33BEF" w:rsidP="00E07A12">
      <w:pPr>
        <w:pStyle w:val="ListParagraph"/>
        <w:numPr>
          <w:ilvl w:val="0"/>
          <w:numId w:val="22"/>
        </w:numPr>
        <w:jc w:val="both"/>
        <w:rPr>
          <w:rFonts w:ascii="Times New Roman" w:hAnsi="Times New Roman"/>
          <w:b/>
          <w:sz w:val="24"/>
          <w:szCs w:val="24"/>
        </w:rPr>
      </w:pPr>
      <w:r w:rsidRPr="008C1D0F">
        <w:rPr>
          <w:rFonts w:ascii="Times New Roman" w:hAnsi="Times New Roman"/>
          <w:b/>
          <w:sz w:val="24"/>
          <w:szCs w:val="24"/>
        </w:rPr>
        <w:t>Fondi p</w:t>
      </w:r>
      <w:r w:rsidR="001C0E0A" w:rsidRPr="008C1D0F">
        <w:rPr>
          <w:rFonts w:ascii="Times New Roman" w:hAnsi="Times New Roman"/>
          <w:b/>
          <w:sz w:val="24"/>
          <w:szCs w:val="24"/>
        </w:rPr>
        <w:t>ë</w:t>
      </w:r>
      <w:r w:rsidRPr="008C1D0F">
        <w:rPr>
          <w:rFonts w:ascii="Times New Roman" w:hAnsi="Times New Roman"/>
          <w:b/>
          <w:sz w:val="24"/>
          <w:szCs w:val="24"/>
        </w:rPr>
        <w:t>r paga dhe sigurime shoq</w:t>
      </w:r>
      <w:r w:rsidR="001C0E0A" w:rsidRPr="008C1D0F">
        <w:rPr>
          <w:rFonts w:ascii="Times New Roman" w:hAnsi="Times New Roman"/>
          <w:b/>
          <w:sz w:val="24"/>
          <w:szCs w:val="24"/>
        </w:rPr>
        <w:t>ë</w:t>
      </w:r>
      <w:r w:rsidRPr="008C1D0F">
        <w:rPr>
          <w:rFonts w:ascii="Times New Roman" w:hAnsi="Times New Roman"/>
          <w:b/>
          <w:sz w:val="24"/>
          <w:szCs w:val="24"/>
        </w:rPr>
        <w:t>rore &amp; sh</w:t>
      </w:r>
      <w:r w:rsidR="001C0E0A" w:rsidRPr="008C1D0F">
        <w:rPr>
          <w:rFonts w:ascii="Times New Roman" w:hAnsi="Times New Roman"/>
          <w:b/>
          <w:sz w:val="24"/>
          <w:szCs w:val="24"/>
        </w:rPr>
        <w:t>ë</w:t>
      </w:r>
      <w:r w:rsidRPr="008C1D0F">
        <w:rPr>
          <w:rFonts w:ascii="Times New Roman" w:hAnsi="Times New Roman"/>
          <w:b/>
          <w:sz w:val="24"/>
          <w:szCs w:val="24"/>
        </w:rPr>
        <w:t>ndet</w:t>
      </w:r>
      <w:r w:rsidR="001C0E0A" w:rsidRPr="008C1D0F">
        <w:rPr>
          <w:rFonts w:ascii="Times New Roman" w:hAnsi="Times New Roman"/>
          <w:b/>
          <w:sz w:val="24"/>
          <w:szCs w:val="24"/>
        </w:rPr>
        <w:t>ë</w:t>
      </w:r>
      <w:r w:rsidRPr="008C1D0F">
        <w:rPr>
          <w:rFonts w:ascii="Times New Roman" w:hAnsi="Times New Roman"/>
          <w:b/>
          <w:sz w:val="24"/>
          <w:szCs w:val="24"/>
        </w:rPr>
        <w:t xml:space="preserve">sore </w:t>
      </w:r>
    </w:p>
    <w:p w:rsidR="00E07A12" w:rsidRPr="006B1688" w:rsidRDefault="00E07A12" w:rsidP="00E07A12">
      <w:pPr>
        <w:spacing w:line="276" w:lineRule="auto"/>
        <w:jc w:val="both"/>
      </w:pPr>
      <w:r w:rsidRPr="006B1688">
        <w:t>Pjesën kryesore të shpenzimeve e zënë pagat e personelit, si dhe kontributet e sigurimeve shoqërore e shëndetësore. Fondi i përgjithshëm i pagave është realizuar për numrin faktik të punonjësve, në vlerën 43.758 (në mijë lekë) ose 90.</w:t>
      </w:r>
      <w:r w:rsidR="00A21D52">
        <w:t xml:space="preserve">7 </w:t>
      </w:r>
      <w:r w:rsidRPr="006B1688">
        <w:t>% dhe për kontribute për sigurimet shoqërore dhe shëndetësore në vlerë</w:t>
      </w:r>
      <w:r w:rsidR="00A21D52">
        <w:t>n 7.171 (në mijë lekë) ose 99.5</w:t>
      </w:r>
      <w:r w:rsidRPr="006B1688">
        <w:t>%, e planifikimit për vitin 2020.</w:t>
      </w:r>
    </w:p>
    <w:p w:rsidR="00E07A12" w:rsidRDefault="00E07A12" w:rsidP="00E07A12">
      <w:pPr>
        <w:jc w:val="both"/>
      </w:pPr>
      <w:r w:rsidRPr="006B1688">
        <w:t>Në mënyrë më të detajuar për secilin zë paraqiten sa më poshtë të dhënat :</w:t>
      </w:r>
    </w:p>
    <w:p w:rsidR="006B1688" w:rsidRPr="006B1688" w:rsidRDefault="006B1688" w:rsidP="00E07A12">
      <w:pPr>
        <w:jc w:val="both"/>
      </w:pPr>
    </w:p>
    <w:p w:rsidR="00E33BEF" w:rsidRPr="006B1688" w:rsidRDefault="00E33BEF" w:rsidP="00E33BEF">
      <w:pPr>
        <w:jc w:val="both"/>
      </w:pPr>
      <w:r w:rsidRPr="006B1688">
        <w:t xml:space="preserve">-Siç shihet nga pasqyra, fondi i akorduar për vitin 2020, për mbulimin e shpenzimeve në </w:t>
      </w:r>
      <w:r w:rsidRPr="006B1688">
        <w:rPr>
          <w:b/>
        </w:rPr>
        <w:t>paga personeli</w:t>
      </w:r>
      <w:r w:rsidR="001C0E0A" w:rsidRPr="006B1688">
        <w:t xml:space="preserve"> (</w:t>
      </w:r>
      <w:r w:rsidRPr="006B1688">
        <w:t>artikullin 600</w:t>
      </w:r>
      <w:r w:rsidR="00E07A12" w:rsidRPr="006B1688">
        <w:t>)</w:t>
      </w:r>
      <w:r w:rsidRPr="006B1688">
        <w:t xml:space="preserve">, </w:t>
      </w:r>
      <w:r w:rsidR="00090E89" w:rsidRPr="006B1688">
        <w:t xml:space="preserve">është </w:t>
      </w:r>
      <w:r w:rsidRPr="006B1688">
        <w:t>shpenzuar</w:t>
      </w:r>
      <w:r w:rsidR="00090E89" w:rsidRPr="006B1688">
        <w:t xml:space="preserve">, </w:t>
      </w:r>
      <w:r w:rsidRPr="006B1688">
        <w:t xml:space="preserve">për numrin 43 të punonjësve faktik (brenda dhe jashtë strukturës), </w:t>
      </w:r>
      <w:r w:rsidR="001C0E0A" w:rsidRPr="006B1688">
        <w:t xml:space="preserve">në </w:t>
      </w:r>
      <w:r w:rsidRPr="006B1688">
        <w:t>vler</w:t>
      </w:r>
      <w:r w:rsidR="001C0E0A" w:rsidRPr="006B1688">
        <w:t>ë</w:t>
      </w:r>
      <w:r w:rsidRPr="006B1688">
        <w:t xml:space="preserve"> 43.758 (në mijë) lekë</w:t>
      </w:r>
      <w:r w:rsidR="00090E89" w:rsidRPr="006B1688">
        <w:t xml:space="preserve">, </w:t>
      </w:r>
      <w:r w:rsidRPr="006B1688">
        <w:t>e barabartë kjo me 9</w:t>
      </w:r>
      <w:r w:rsidR="001C0E0A" w:rsidRPr="006B1688">
        <w:t>9</w:t>
      </w:r>
      <w:r w:rsidRPr="006B1688">
        <w:t>.</w:t>
      </w:r>
      <w:r w:rsidR="001C0E0A" w:rsidRPr="006B1688">
        <w:t>6</w:t>
      </w:r>
      <w:r w:rsidRPr="006B1688">
        <w:t xml:space="preserve"> % krahasuar me planin vjetor. </w:t>
      </w:r>
    </w:p>
    <w:p w:rsidR="00E33BEF" w:rsidRDefault="00E33BEF" w:rsidP="00E33BEF">
      <w:pPr>
        <w:spacing w:line="276" w:lineRule="auto"/>
        <w:jc w:val="both"/>
      </w:pPr>
      <w:r w:rsidRPr="006B1688">
        <w:t xml:space="preserve">Mosrealizimi ka ardhur si rezultat i efekteve të periudhës së plotësimit të vendeve të krijuara përkohësisht vakante si dhe të lëvizjeve të punonjësve të institucionit. </w:t>
      </w:r>
    </w:p>
    <w:p w:rsidR="006B1688" w:rsidRPr="006B1688" w:rsidRDefault="006B1688" w:rsidP="00E33BEF">
      <w:pPr>
        <w:spacing w:line="276" w:lineRule="auto"/>
        <w:jc w:val="both"/>
      </w:pPr>
    </w:p>
    <w:p w:rsidR="00E33BEF" w:rsidRPr="006B1688" w:rsidRDefault="00090E89" w:rsidP="00E33BEF">
      <w:pPr>
        <w:spacing w:line="276" w:lineRule="auto"/>
        <w:jc w:val="both"/>
      </w:pPr>
      <w:r w:rsidRPr="006B1688">
        <w:t>-</w:t>
      </w:r>
      <w:r w:rsidR="00E33BEF" w:rsidRPr="006B1688">
        <w:t xml:space="preserve">Në artikullin </w:t>
      </w:r>
      <w:r w:rsidR="001C0E0A" w:rsidRPr="006B1688">
        <w:t>(</w:t>
      </w:r>
      <w:r w:rsidR="00E33BEF" w:rsidRPr="006B1688">
        <w:t>601</w:t>
      </w:r>
      <w:r w:rsidR="001C0E0A" w:rsidRPr="006B1688">
        <w:t>)</w:t>
      </w:r>
      <w:r w:rsidR="00E33BEF" w:rsidRPr="006B1688">
        <w:t xml:space="preserve">, </w:t>
      </w:r>
      <w:r w:rsidR="001C0E0A" w:rsidRPr="006B1688">
        <w:rPr>
          <w:b/>
        </w:rPr>
        <w:t>S</w:t>
      </w:r>
      <w:r w:rsidR="00E33BEF" w:rsidRPr="006B1688">
        <w:rPr>
          <w:b/>
        </w:rPr>
        <w:t xml:space="preserve">igurime shoqërore </w:t>
      </w:r>
      <w:r w:rsidR="001C0E0A" w:rsidRPr="006B1688">
        <w:rPr>
          <w:b/>
        </w:rPr>
        <w:t>&amp;</w:t>
      </w:r>
      <w:r w:rsidR="00E33BEF" w:rsidRPr="006B1688">
        <w:rPr>
          <w:b/>
        </w:rPr>
        <w:t xml:space="preserve"> shëndetësore</w:t>
      </w:r>
      <w:r w:rsidR="00E33BEF" w:rsidRPr="006B1688">
        <w:t>, janë shpenzuar 7.171 (në mijë) le</w:t>
      </w:r>
      <w:r w:rsidR="00A21D52">
        <w:t xml:space="preserve">kë, e barabartë kjo me 98.9 %, </w:t>
      </w:r>
      <w:r w:rsidR="00E33BEF" w:rsidRPr="006B1688">
        <w:t xml:space="preserve">krahasuar me planin vjetor 2020, </w:t>
      </w:r>
      <w:r w:rsidRPr="006B1688">
        <w:t>i</w:t>
      </w:r>
      <w:r w:rsidR="00E33BEF" w:rsidRPr="006B1688">
        <w:t xml:space="preserve"> ndryshuar </w:t>
      </w:r>
      <w:r w:rsidRPr="006B1688">
        <w:t xml:space="preserve">për shkak të </w:t>
      </w:r>
      <w:r w:rsidR="00E33BEF" w:rsidRPr="006B1688">
        <w:t>mungesë</w:t>
      </w:r>
      <w:r w:rsidRPr="006B1688">
        <w:t>s së</w:t>
      </w:r>
      <w:r w:rsidR="00E33BEF" w:rsidRPr="006B1688">
        <w:t xml:space="preserve"> financimi</w:t>
      </w:r>
      <w:r w:rsidRPr="006B1688">
        <w:t>t</w:t>
      </w:r>
      <w:r w:rsidR="00E33BEF" w:rsidRPr="006B1688">
        <w:t xml:space="preserve"> </w:t>
      </w:r>
      <w:r w:rsidRPr="006B1688">
        <w:t>të</w:t>
      </w:r>
      <w:r w:rsidR="00E33BEF" w:rsidRPr="006B1688">
        <w:t xml:space="preserve"> strukturës aktuale. </w:t>
      </w:r>
    </w:p>
    <w:p w:rsidR="00E07A12" w:rsidRPr="006B1688" w:rsidRDefault="00E33BEF" w:rsidP="001C0E0A">
      <w:pPr>
        <w:spacing w:line="276" w:lineRule="auto"/>
        <w:jc w:val="both"/>
      </w:pPr>
      <w:r w:rsidRPr="006B1688">
        <w:t>Gjatë vitit 2020, numri mesatar i punonjësve ka qenë 37 punonjës nga 39 punonjës që ka qenë kufiri i miratuar me ligjin nr. 88/2019 “Për bux</w:t>
      </w:r>
      <w:r w:rsidR="001C0E0A" w:rsidRPr="006B1688">
        <w:t>hetin e Shtetit të vitit 2020”</w:t>
      </w:r>
      <w:r w:rsidR="00E07A12" w:rsidRPr="006B1688">
        <w:t xml:space="preserve">. Kjo pasi zyra e Komisionerit </w:t>
      </w:r>
      <w:r w:rsidR="006B1688" w:rsidRPr="006B1688">
        <w:t xml:space="preserve">paraqiti për miratim pranë institucioneve përgjegjëse dhe Kuvendit të Republikës së Shqipërisë në maj të vitit 2020, një strukturë dhe organikë të plotë të institucionit, me qëllim administrimin më efikas të burimeve njerëzore në raport me ngarkesën e punës. Struktura është miratuar me </w:t>
      </w:r>
      <w:r w:rsidR="00A21D52">
        <w:rPr>
          <w:color w:val="0D0D0D" w:themeColor="text1" w:themeTint="F2"/>
          <w:lang w:val="it-IT"/>
        </w:rPr>
        <w:t>Vendimit të Kuvendit të Shqipë</w:t>
      </w:r>
      <w:r w:rsidR="006B1688" w:rsidRPr="006B1688">
        <w:rPr>
          <w:color w:val="0D0D0D" w:themeColor="text1" w:themeTint="F2"/>
          <w:lang w:val="it-IT"/>
        </w:rPr>
        <w:t xml:space="preserve">risë </w:t>
      </w:r>
      <w:r w:rsidR="00A21D52">
        <w:rPr>
          <w:color w:val="0D0D0D" w:themeColor="text1" w:themeTint="F2"/>
          <w:lang w:val="it-IT"/>
        </w:rPr>
        <w:t xml:space="preserve">                     nr.</w:t>
      </w:r>
      <w:r w:rsidR="006B1688" w:rsidRPr="006B1688">
        <w:rPr>
          <w:color w:val="0D0D0D" w:themeColor="text1" w:themeTint="F2"/>
          <w:lang w:val="it-IT"/>
        </w:rPr>
        <w:t xml:space="preserve">84/2020 “Për disa shtesa e ndryshime të Vendimit nr. 86/2018 “Për miratimin e strukturës, organikës dhe klasifikimit të pagave të Komisionerit për të Drejtën e Informimit dhe Mbrojtjen e të Dhënave Personale”, e cila </w:t>
      </w:r>
      <w:r w:rsidR="00A21D52">
        <w:rPr>
          <w:color w:val="0D0D0D" w:themeColor="text1" w:themeTint="F2"/>
          <w:lang w:val="it-IT"/>
        </w:rPr>
        <w:t>u përfshi</w:t>
      </w:r>
      <w:r w:rsidR="006B1688" w:rsidRPr="006B1688">
        <w:rPr>
          <w:color w:val="0D0D0D" w:themeColor="text1" w:themeTint="F2"/>
          <w:lang w:val="it-IT"/>
        </w:rPr>
        <w:t xml:space="preserve"> në </w:t>
      </w:r>
      <w:r w:rsidR="00E07A12" w:rsidRPr="006B1688">
        <w:t xml:space="preserve">ligjin nr. 137 datë 16.11.2020 </w:t>
      </w:r>
      <w:r w:rsidR="00E07A12" w:rsidRPr="006B1688">
        <w:rPr>
          <w:i/>
        </w:rPr>
        <w:t>"Për buxhetin e vitit 2021",</w:t>
      </w:r>
      <w:r w:rsidR="00E07A12" w:rsidRPr="006B1688">
        <w:t xml:space="preserve"> </w:t>
      </w:r>
      <w:r w:rsidR="006B1688" w:rsidRPr="006B1688">
        <w:t xml:space="preserve">ku është </w:t>
      </w:r>
      <w:r w:rsidR="00E07A12" w:rsidRPr="006B1688">
        <w:t xml:space="preserve"> miratua</w:t>
      </w:r>
      <w:r w:rsidR="006B1688" w:rsidRPr="006B1688">
        <w:t>r</w:t>
      </w:r>
      <w:r w:rsidR="00E07A12" w:rsidRPr="006B1688">
        <w:t xml:space="preserve"> numri i përgjithshëm me 44 punonjësish krahasuar me 37 në vitin 2019</w:t>
      </w:r>
      <w:r w:rsidR="006B1688" w:rsidRPr="006B1688">
        <w:t>.</w:t>
      </w:r>
    </w:p>
    <w:p w:rsidR="004732BD" w:rsidRPr="006B1688" w:rsidRDefault="00090E89" w:rsidP="00E33BEF">
      <w:pPr>
        <w:widowControl w:val="0"/>
        <w:spacing w:line="276" w:lineRule="auto"/>
        <w:jc w:val="both"/>
        <w:rPr>
          <w:rFonts w:eastAsia="Batang"/>
          <w:lang w:val="sv-SE"/>
        </w:rPr>
      </w:pPr>
      <w:r w:rsidRPr="006B1688">
        <w:rPr>
          <w:rFonts w:eastAsia="Batang"/>
          <w:lang w:val="sv-SE"/>
        </w:rPr>
        <w:t>Gjatë vitit 2020</w:t>
      </w:r>
      <w:r w:rsidR="0077481A" w:rsidRPr="006B1688">
        <w:rPr>
          <w:rFonts w:eastAsia="Batang"/>
          <w:lang w:val="sv-SE"/>
        </w:rPr>
        <w:t>, janë kryer procedurat</w:t>
      </w:r>
      <w:r w:rsidR="00313ADB" w:rsidRPr="006B1688">
        <w:rPr>
          <w:rFonts w:eastAsia="Batang"/>
          <w:lang w:val="sv-SE"/>
        </w:rPr>
        <w:t xml:space="preserve"> e zëvendësimit të pozicioneve </w:t>
      </w:r>
      <w:r w:rsidR="0077481A" w:rsidRPr="006B1688">
        <w:rPr>
          <w:rFonts w:eastAsia="Batang"/>
          <w:lang w:val="sv-SE"/>
        </w:rPr>
        <w:t xml:space="preserve">të deklaruar përkohësisht vakante, lirimit nga detyra me kërkesë, </w:t>
      </w:r>
      <w:r w:rsidRPr="006B1688">
        <w:rPr>
          <w:rFonts w:eastAsia="Batang"/>
          <w:lang w:val="sv-SE"/>
        </w:rPr>
        <w:t xml:space="preserve">ndjekja e procedurave të rekrutimit, sipas llojit të kategorive. </w:t>
      </w:r>
    </w:p>
    <w:p w:rsidR="00717282" w:rsidRPr="008C1D0F" w:rsidRDefault="00717282" w:rsidP="004732BD">
      <w:pPr>
        <w:widowControl w:val="0"/>
        <w:jc w:val="both"/>
        <w:rPr>
          <w:rFonts w:eastAsia="Batang"/>
          <w:lang w:val="sv-SE"/>
        </w:rPr>
      </w:pPr>
    </w:p>
    <w:p w:rsidR="00075913" w:rsidRPr="008C1D0F" w:rsidRDefault="00075913" w:rsidP="0082582B">
      <w:pPr>
        <w:pStyle w:val="ListParagraph"/>
        <w:numPr>
          <w:ilvl w:val="0"/>
          <w:numId w:val="7"/>
        </w:numPr>
        <w:jc w:val="both"/>
        <w:rPr>
          <w:rFonts w:ascii="Times New Roman" w:hAnsi="Times New Roman"/>
          <w:b/>
          <w:bCs/>
          <w:color w:val="0D0D0D" w:themeColor="text1" w:themeTint="F2"/>
          <w:sz w:val="24"/>
          <w:szCs w:val="24"/>
        </w:rPr>
      </w:pPr>
      <w:r w:rsidRPr="008C1D0F">
        <w:rPr>
          <w:rFonts w:ascii="Times New Roman" w:eastAsia="Batang" w:hAnsi="Times New Roman"/>
          <w:b/>
          <w:color w:val="0D0D0D" w:themeColor="text1" w:themeTint="F2"/>
          <w:sz w:val="24"/>
          <w:szCs w:val="24"/>
          <w:u w:val="single"/>
          <w:lang w:val="sv-SE"/>
        </w:rPr>
        <w:t xml:space="preserve">Fondi për </w:t>
      </w:r>
      <w:proofErr w:type="spellStart"/>
      <w:r w:rsidRPr="008C1D0F">
        <w:rPr>
          <w:rFonts w:ascii="Times New Roman" w:hAnsi="Times New Roman"/>
          <w:b/>
          <w:bCs/>
          <w:color w:val="0D0D0D" w:themeColor="text1" w:themeTint="F2"/>
          <w:sz w:val="24"/>
          <w:szCs w:val="24"/>
          <w:u w:val="single"/>
          <w:lang w:val="es-CL"/>
        </w:rPr>
        <w:t>Shpenzime</w:t>
      </w:r>
      <w:proofErr w:type="spellEnd"/>
      <w:r w:rsidR="00A80E76" w:rsidRPr="008C1D0F">
        <w:rPr>
          <w:rFonts w:ascii="Times New Roman" w:hAnsi="Times New Roman"/>
          <w:b/>
          <w:bCs/>
          <w:color w:val="0D0D0D" w:themeColor="text1" w:themeTint="F2"/>
          <w:sz w:val="24"/>
          <w:szCs w:val="24"/>
          <w:u w:val="single"/>
          <w:lang w:val="es-CL"/>
        </w:rPr>
        <w:t xml:space="preserve"> </w:t>
      </w:r>
      <w:proofErr w:type="spellStart"/>
      <w:r w:rsidRPr="008C1D0F">
        <w:rPr>
          <w:rFonts w:ascii="Times New Roman" w:hAnsi="Times New Roman"/>
          <w:b/>
          <w:bCs/>
          <w:color w:val="0D0D0D" w:themeColor="text1" w:themeTint="F2"/>
          <w:sz w:val="24"/>
          <w:szCs w:val="24"/>
          <w:u w:val="single"/>
          <w:lang w:val="es-CL"/>
        </w:rPr>
        <w:t>Korente</w:t>
      </w:r>
      <w:proofErr w:type="spellEnd"/>
      <w:r w:rsidR="00A80E76" w:rsidRPr="008C1D0F">
        <w:rPr>
          <w:rFonts w:ascii="Times New Roman" w:hAnsi="Times New Roman"/>
          <w:b/>
          <w:bCs/>
          <w:color w:val="0D0D0D" w:themeColor="text1" w:themeTint="F2"/>
          <w:sz w:val="24"/>
          <w:szCs w:val="24"/>
          <w:u w:val="single"/>
          <w:lang w:val="es-CL"/>
        </w:rPr>
        <w:t xml:space="preserve"> </w:t>
      </w:r>
      <w:proofErr w:type="spellStart"/>
      <w:r w:rsidRPr="008C1D0F">
        <w:rPr>
          <w:rFonts w:ascii="Times New Roman" w:hAnsi="Times New Roman"/>
          <w:b/>
          <w:bCs/>
          <w:color w:val="0D0D0D" w:themeColor="text1" w:themeTint="F2"/>
          <w:sz w:val="24"/>
          <w:szCs w:val="24"/>
          <w:u w:val="single"/>
          <w:lang w:val="es-CL"/>
        </w:rPr>
        <w:t>të</w:t>
      </w:r>
      <w:proofErr w:type="spellEnd"/>
      <w:r w:rsidR="00A80E76" w:rsidRPr="008C1D0F">
        <w:rPr>
          <w:rFonts w:ascii="Times New Roman" w:hAnsi="Times New Roman"/>
          <w:b/>
          <w:bCs/>
          <w:color w:val="0D0D0D" w:themeColor="text1" w:themeTint="F2"/>
          <w:sz w:val="24"/>
          <w:szCs w:val="24"/>
          <w:u w:val="single"/>
          <w:lang w:val="es-CL"/>
        </w:rPr>
        <w:t xml:space="preserve"> </w:t>
      </w:r>
      <w:proofErr w:type="spellStart"/>
      <w:r w:rsidRPr="008C1D0F">
        <w:rPr>
          <w:rFonts w:ascii="Times New Roman" w:hAnsi="Times New Roman"/>
          <w:b/>
          <w:bCs/>
          <w:color w:val="0D0D0D" w:themeColor="text1" w:themeTint="F2"/>
          <w:sz w:val="24"/>
          <w:szCs w:val="24"/>
          <w:u w:val="single"/>
          <w:lang w:val="es-CL"/>
        </w:rPr>
        <w:t>tjera</w:t>
      </w:r>
      <w:proofErr w:type="spellEnd"/>
      <w:r w:rsidRPr="008C1D0F">
        <w:rPr>
          <w:rFonts w:ascii="Times New Roman" w:eastAsia="Batang" w:hAnsi="Times New Roman"/>
          <w:b/>
          <w:color w:val="0D0D0D" w:themeColor="text1" w:themeTint="F2"/>
          <w:sz w:val="24"/>
          <w:szCs w:val="24"/>
          <w:u w:val="single"/>
          <w:lang w:val="sv-SE"/>
        </w:rPr>
        <w:t xml:space="preserve"> (602-606)</w:t>
      </w:r>
      <w:r w:rsidRPr="008C1D0F">
        <w:rPr>
          <w:rFonts w:ascii="Times New Roman" w:hAnsi="Times New Roman"/>
          <w:b/>
          <w:bCs/>
          <w:color w:val="0D0D0D" w:themeColor="text1" w:themeTint="F2"/>
          <w:sz w:val="24"/>
          <w:szCs w:val="24"/>
          <w:u w:val="single"/>
          <w:lang w:val="es-CL"/>
        </w:rPr>
        <w:t xml:space="preserve">, </w:t>
      </w:r>
      <w:proofErr w:type="spellStart"/>
      <w:r w:rsidRPr="008C1D0F">
        <w:rPr>
          <w:rFonts w:ascii="Times New Roman" w:hAnsi="Times New Roman"/>
          <w:bCs/>
          <w:color w:val="0D0D0D" w:themeColor="text1" w:themeTint="F2"/>
          <w:sz w:val="24"/>
          <w:szCs w:val="24"/>
          <w:lang w:val="es-CL"/>
        </w:rPr>
        <w:t>për</w:t>
      </w:r>
      <w:proofErr w:type="spellEnd"/>
      <w:r w:rsidRPr="008C1D0F">
        <w:rPr>
          <w:rFonts w:ascii="Times New Roman" w:hAnsi="Times New Roman"/>
          <w:bCs/>
          <w:color w:val="0D0D0D" w:themeColor="text1" w:themeTint="F2"/>
          <w:sz w:val="24"/>
          <w:szCs w:val="24"/>
          <w:lang w:val="es-CL"/>
        </w:rPr>
        <w:t xml:space="preserve"> </w:t>
      </w:r>
      <w:r w:rsidR="00717282" w:rsidRPr="008C1D0F">
        <w:rPr>
          <w:rFonts w:ascii="Times New Roman" w:eastAsia="Batang" w:hAnsi="Times New Roman"/>
          <w:color w:val="0D0D0D" w:themeColor="text1" w:themeTint="F2"/>
          <w:sz w:val="24"/>
          <w:szCs w:val="24"/>
          <w:lang w:val="sv-SE"/>
        </w:rPr>
        <w:t xml:space="preserve">vitin 2020, </w:t>
      </w:r>
      <w:r w:rsidRPr="008C1D0F">
        <w:rPr>
          <w:rFonts w:ascii="Times New Roman" w:eastAsia="Batang" w:hAnsi="Times New Roman"/>
          <w:color w:val="0D0D0D" w:themeColor="text1" w:themeTint="F2"/>
          <w:sz w:val="24"/>
          <w:szCs w:val="24"/>
          <w:lang w:val="sv-SE"/>
        </w:rPr>
        <w:t xml:space="preserve">është realizuar </w:t>
      </w:r>
      <w:proofErr w:type="spellStart"/>
      <w:r w:rsidRPr="008C1D0F">
        <w:rPr>
          <w:rFonts w:ascii="Times New Roman" w:hAnsi="Times New Roman"/>
          <w:bCs/>
          <w:color w:val="0D0D0D" w:themeColor="text1" w:themeTint="F2"/>
          <w:sz w:val="24"/>
          <w:szCs w:val="24"/>
          <w:lang w:val="es-CL"/>
        </w:rPr>
        <w:t>në</w:t>
      </w:r>
      <w:proofErr w:type="spellEnd"/>
      <w:r w:rsidRPr="008C1D0F">
        <w:rPr>
          <w:rFonts w:ascii="Times New Roman" w:hAnsi="Times New Roman"/>
          <w:bCs/>
          <w:color w:val="0D0D0D" w:themeColor="text1" w:themeTint="F2"/>
          <w:sz w:val="24"/>
          <w:szCs w:val="24"/>
          <w:lang w:val="es-CL"/>
        </w:rPr>
        <w:t xml:space="preserve"> </w:t>
      </w:r>
      <w:proofErr w:type="spellStart"/>
      <w:r w:rsidRPr="008C1D0F">
        <w:rPr>
          <w:rFonts w:ascii="Times New Roman" w:hAnsi="Times New Roman"/>
          <w:bCs/>
          <w:color w:val="0D0D0D" w:themeColor="text1" w:themeTint="F2"/>
          <w:sz w:val="24"/>
          <w:szCs w:val="24"/>
          <w:lang w:val="es-CL"/>
        </w:rPr>
        <w:t>vlerën</w:t>
      </w:r>
      <w:proofErr w:type="spellEnd"/>
      <w:r w:rsidRPr="008C1D0F">
        <w:rPr>
          <w:rFonts w:ascii="Times New Roman" w:hAnsi="Times New Roman"/>
          <w:bCs/>
          <w:color w:val="0D0D0D" w:themeColor="text1" w:themeTint="F2"/>
          <w:sz w:val="24"/>
          <w:szCs w:val="24"/>
          <w:lang w:val="es-CL"/>
        </w:rPr>
        <w:t xml:space="preserve"> </w:t>
      </w:r>
      <w:r w:rsidR="00717282" w:rsidRPr="008C1D0F">
        <w:rPr>
          <w:rFonts w:ascii="Times New Roman" w:hAnsi="Times New Roman"/>
          <w:b/>
          <w:bCs/>
          <w:color w:val="0D0D0D" w:themeColor="text1" w:themeTint="F2"/>
          <w:sz w:val="24"/>
          <w:szCs w:val="24"/>
          <w:u w:val="single"/>
          <w:lang w:val="es-CL"/>
        </w:rPr>
        <w:t>14.037</w:t>
      </w:r>
      <w:r w:rsidRPr="008C1D0F">
        <w:rPr>
          <w:rFonts w:ascii="Times New Roman" w:hAnsi="Times New Roman"/>
          <w:b/>
          <w:bCs/>
          <w:color w:val="0D0D0D" w:themeColor="text1" w:themeTint="F2"/>
          <w:sz w:val="24"/>
          <w:szCs w:val="24"/>
          <w:u w:val="single"/>
          <w:lang w:val="es-CL"/>
        </w:rPr>
        <w:t xml:space="preserve"> </w:t>
      </w:r>
      <w:proofErr w:type="spellStart"/>
      <w:r w:rsidRPr="008C1D0F">
        <w:rPr>
          <w:rFonts w:ascii="Times New Roman" w:hAnsi="Times New Roman"/>
          <w:b/>
          <w:bCs/>
          <w:color w:val="0D0D0D" w:themeColor="text1" w:themeTint="F2"/>
          <w:sz w:val="24"/>
          <w:szCs w:val="24"/>
          <w:lang w:val="es-CL"/>
        </w:rPr>
        <w:t>mijë</w:t>
      </w:r>
      <w:proofErr w:type="spellEnd"/>
      <w:r w:rsidRPr="008C1D0F">
        <w:rPr>
          <w:rFonts w:ascii="Times New Roman" w:eastAsia="Batang" w:hAnsi="Times New Roman"/>
          <w:b/>
          <w:color w:val="0D0D0D" w:themeColor="text1" w:themeTint="F2"/>
          <w:sz w:val="24"/>
          <w:szCs w:val="24"/>
          <w:lang w:val="sv-SE"/>
        </w:rPr>
        <w:t xml:space="preserve"> lekë</w:t>
      </w:r>
      <w:r w:rsidR="00313ADB" w:rsidRPr="008C1D0F">
        <w:rPr>
          <w:rFonts w:ascii="Times New Roman" w:eastAsia="Batang" w:hAnsi="Times New Roman"/>
          <w:color w:val="0D0D0D" w:themeColor="text1" w:themeTint="F2"/>
          <w:sz w:val="24"/>
          <w:szCs w:val="24"/>
          <w:lang w:val="sv-SE"/>
        </w:rPr>
        <w:t xml:space="preserve">, </w:t>
      </w:r>
      <w:r w:rsidRPr="008C1D0F">
        <w:rPr>
          <w:rFonts w:ascii="Times New Roman" w:eastAsia="Batang" w:hAnsi="Times New Roman"/>
          <w:color w:val="0D0D0D" w:themeColor="text1" w:themeTint="F2"/>
          <w:sz w:val="24"/>
          <w:szCs w:val="24"/>
        </w:rPr>
        <w:t xml:space="preserve">ose rreth </w:t>
      </w:r>
      <w:r w:rsidR="00717282" w:rsidRPr="008C1D0F">
        <w:rPr>
          <w:rFonts w:ascii="Times New Roman" w:eastAsia="Batang" w:hAnsi="Times New Roman"/>
          <w:color w:val="0D0D0D" w:themeColor="text1" w:themeTint="F2"/>
          <w:sz w:val="24"/>
          <w:szCs w:val="24"/>
        </w:rPr>
        <w:t>95.8</w:t>
      </w:r>
      <w:r w:rsidRPr="008C1D0F">
        <w:rPr>
          <w:rFonts w:ascii="Times New Roman" w:eastAsia="Batang" w:hAnsi="Times New Roman"/>
          <w:color w:val="0D0D0D" w:themeColor="text1" w:themeTint="F2"/>
          <w:sz w:val="24"/>
          <w:szCs w:val="24"/>
        </w:rPr>
        <w:t xml:space="preserve"> % e fondit të planifikuar </w:t>
      </w:r>
      <w:r w:rsidR="00313ADB" w:rsidRPr="008C1D0F">
        <w:rPr>
          <w:rFonts w:ascii="Times New Roman" w:eastAsia="Batang" w:hAnsi="Times New Roman"/>
          <w:color w:val="0D0D0D" w:themeColor="text1" w:themeTint="F2"/>
          <w:sz w:val="24"/>
          <w:szCs w:val="24"/>
        </w:rPr>
        <w:t>vjetor të këtij shpenzimi (</w:t>
      </w:r>
      <w:r w:rsidRPr="008C1D0F">
        <w:rPr>
          <w:rFonts w:ascii="Times New Roman" w:eastAsia="Batang" w:hAnsi="Times New Roman"/>
          <w:color w:val="0D0D0D" w:themeColor="text1" w:themeTint="F2"/>
          <w:sz w:val="24"/>
          <w:szCs w:val="24"/>
        </w:rPr>
        <w:t xml:space="preserve">602-606) </w:t>
      </w:r>
      <w:r w:rsidRPr="008C1D0F">
        <w:rPr>
          <w:rFonts w:ascii="Times New Roman" w:hAnsi="Times New Roman"/>
          <w:color w:val="0D0D0D" w:themeColor="text1" w:themeTint="F2"/>
          <w:sz w:val="24"/>
          <w:szCs w:val="24"/>
          <w:lang w:val="it-IT"/>
        </w:rPr>
        <w:t>Ky fond është realizuar për:</w:t>
      </w:r>
    </w:p>
    <w:p w:rsidR="00075913" w:rsidRPr="008C1D0F" w:rsidRDefault="00075913" w:rsidP="00075913">
      <w:pPr>
        <w:pStyle w:val="ListParagraph"/>
        <w:widowControl w:val="0"/>
        <w:spacing w:after="0"/>
        <w:ind w:left="426"/>
        <w:contextualSpacing w:val="0"/>
        <w:jc w:val="both"/>
        <w:rPr>
          <w:rFonts w:ascii="Times New Roman" w:hAnsi="Times New Roman"/>
          <w:b/>
          <w:bCs/>
          <w:color w:val="0D0D0D" w:themeColor="text1" w:themeTint="F2"/>
          <w:sz w:val="24"/>
          <w:szCs w:val="24"/>
        </w:rPr>
      </w:pPr>
    </w:p>
    <w:p w:rsidR="00075913" w:rsidRPr="008C1D0F" w:rsidRDefault="00075913" w:rsidP="0082582B">
      <w:pPr>
        <w:numPr>
          <w:ilvl w:val="1"/>
          <w:numId w:val="3"/>
        </w:numPr>
        <w:tabs>
          <w:tab w:val="num" w:pos="1440"/>
        </w:tabs>
        <w:spacing w:line="276" w:lineRule="auto"/>
        <w:ind w:left="1440"/>
        <w:jc w:val="both"/>
        <w:rPr>
          <w:color w:val="0D0D0D" w:themeColor="text1" w:themeTint="F2"/>
          <w:lang w:val="it-IT"/>
        </w:rPr>
      </w:pPr>
      <w:r w:rsidRPr="008C1D0F">
        <w:rPr>
          <w:color w:val="0D0D0D" w:themeColor="text1" w:themeTint="F2"/>
          <w:lang w:val="it-IT"/>
        </w:rPr>
        <w:t xml:space="preserve">Shlyerjen e detyrimeve </w:t>
      </w:r>
      <w:r w:rsidRPr="008C1D0F">
        <w:rPr>
          <w:rFonts w:eastAsia="Batang"/>
          <w:color w:val="0D0D0D" w:themeColor="text1" w:themeTint="F2"/>
          <w:lang w:val="it-IT"/>
        </w:rPr>
        <w:t>ndaj shtetit, si detyrime energji elektrike, ujë, shërbime bankare, postare e telefonike.</w:t>
      </w:r>
    </w:p>
    <w:p w:rsidR="00075913" w:rsidRPr="008C1D0F" w:rsidRDefault="00075913" w:rsidP="0082582B">
      <w:pPr>
        <w:numPr>
          <w:ilvl w:val="1"/>
          <w:numId w:val="3"/>
        </w:numPr>
        <w:tabs>
          <w:tab w:val="num" w:pos="1440"/>
        </w:tabs>
        <w:spacing w:line="276" w:lineRule="auto"/>
        <w:ind w:left="1440"/>
        <w:jc w:val="both"/>
        <w:rPr>
          <w:color w:val="0D0D0D" w:themeColor="text1" w:themeTint="F2"/>
        </w:rPr>
      </w:pPr>
      <w:r w:rsidRPr="008C1D0F">
        <w:rPr>
          <w:rFonts w:eastAsia="Batang"/>
          <w:color w:val="0D0D0D" w:themeColor="text1" w:themeTint="F2"/>
        </w:rPr>
        <w:t xml:space="preserve">Shpenzime në funksion të realizimit të qëllimit </w:t>
      </w:r>
      <w:r w:rsidRPr="008C1D0F">
        <w:rPr>
          <w:color w:val="0D0D0D" w:themeColor="text1" w:themeTint="F2"/>
        </w:rPr>
        <w:t>të Komisionerit, sigurimit të standarteve të njëjta në zbatimin e ligeve baz</w:t>
      </w:r>
      <w:r w:rsidR="00717282" w:rsidRPr="008C1D0F">
        <w:rPr>
          <w:color w:val="0D0D0D" w:themeColor="text1" w:themeTint="F2"/>
        </w:rPr>
        <w:t>ë</w:t>
      </w:r>
      <w:r w:rsidRPr="008C1D0F">
        <w:rPr>
          <w:i/>
          <w:color w:val="0D0D0D" w:themeColor="text1" w:themeTint="F2"/>
        </w:rPr>
        <w:t>,</w:t>
      </w:r>
      <w:r w:rsidRPr="008C1D0F">
        <w:rPr>
          <w:color w:val="0D0D0D" w:themeColor="text1" w:themeTint="F2"/>
        </w:rPr>
        <w:t xml:space="preserve"> nëpërmjet mbikëqyrjes së zbatimit t</w:t>
      </w:r>
      <w:r w:rsidR="00313ADB" w:rsidRPr="008C1D0F">
        <w:rPr>
          <w:color w:val="0D0D0D" w:themeColor="text1" w:themeTint="F2"/>
        </w:rPr>
        <w:t>ë tyre në institucionet e administratë</w:t>
      </w:r>
      <w:r w:rsidRPr="008C1D0F">
        <w:rPr>
          <w:color w:val="0D0D0D" w:themeColor="text1" w:themeTint="F2"/>
        </w:rPr>
        <w:t>s publike si dhe kontrolluesit publik</w:t>
      </w:r>
      <w:r w:rsidR="00717282" w:rsidRPr="008C1D0F">
        <w:rPr>
          <w:color w:val="0D0D0D" w:themeColor="text1" w:themeTint="F2"/>
        </w:rPr>
        <w:t>ë</w:t>
      </w:r>
      <w:r w:rsidRPr="008C1D0F">
        <w:rPr>
          <w:color w:val="0D0D0D" w:themeColor="text1" w:themeTint="F2"/>
        </w:rPr>
        <w:t xml:space="preserve"> e privat</w:t>
      </w:r>
      <w:r w:rsidR="00717282" w:rsidRPr="008C1D0F">
        <w:rPr>
          <w:color w:val="0D0D0D" w:themeColor="text1" w:themeTint="F2"/>
        </w:rPr>
        <w:t>ë</w:t>
      </w:r>
      <w:r w:rsidRPr="008C1D0F">
        <w:rPr>
          <w:color w:val="0D0D0D" w:themeColor="text1" w:themeTint="F2"/>
        </w:rPr>
        <w:t xml:space="preserve"> </w:t>
      </w:r>
    </w:p>
    <w:p w:rsidR="00075913" w:rsidRPr="008C1D0F" w:rsidRDefault="00075913" w:rsidP="0082582B">
      <w:pPr>
        <w:numPr>
          <w:ilvl w:val="1"/>
          <w:numId w:val="3"/>
        </w:numPr>
        <w:tabs>
          <w:tab w:val="num" w:pos="1440"/>
        </w:tabs>
        <w:spacing w:line="276" w:lineRule="auto"/>
        <w:ind w:left="1440"/>
        <w:jc w:val="both"/>
        <w:rPr>
          <w:color w:val="0D0D0D" w:themeColor="text1" w:themeTint="F2"/>
        </w:rPr>
      </w:pPr>
      <w:r w:rsidRPr="008C1D0F">
        <w:rPr>
          <w:rFonts w:eastAsia="Batang"/>
          <w:color w:val="0D0D0D" w:themeColor="text1" w:themeTint="F2"/>
        </w:rPr>
        <w:t xml:space="preserve">Shpenzime për sigurimin e materialeve </w:t>
      </w:r>
      <w:r w:rsidR="00717282" w:rsidRPr="008C1D0F">
        <w:rPr>
          <w:rFonts w:eastAsia="Batang"/>
          <w:color w:val="0D0D0D" w:themeColor="text1" w:themeTint="F2"/>
        </w:rPr>
        <w:t xml:space="preserve">dhe përshtatjen infrastrukturore </w:t>
      </w:r>
      <w:r w:rsidRPr="008C1D0F">
        <w:rPr>
          <w:rFonts w:eastAsia="Batang"/>
          <w:color w:val="0D0D0D" w:themeColor="text1" w:themeTint="F2"/>
        </w:rPr>
        <w:t>për parandalimin e covid-19</w:t>
      </w:r>
    </w:p>
    <w:p w:rsidR="00075913" w:rsidRPr="008C1D0F" w:rsidRDefault="00075913" w:rsidP="0082582B">
      <w:pPr>
        <w:numPr>
          <w:ilvl w:val="1"/>
          <w:numId w:val="3"/>
        </w:numPr>
        <w:tabs>
          <w:tab w:val="num" w:pos="1440"/>
        </w:tabs>
        <w:spacing w:line="276" w:lineRule="auto"/>
        <w:ind w:left="1440"/>
        <w:jc w:val="both"/>
        <w:rPr>
          <w:color w:val="0D0D0D" w:themeColor="text1" w:themeTint="F2"/>
        </w:rPr>
      </w:pPr>
      <w:r w:rsidRPr="008C1D0F">
        <w:rPr>
          <w:color w:val="0D0D0D" w:themeColor="text1" w:themeTint="F2"/>
        </w:rPr>
        <w:t>Shpenzime të tjera mirëmbajtje/furnizime,</w:t>
      </w:r>
      <w:r w:rsidR="00313ADB" w:rsidRPr="008C1D0F">
        <w:rPr>
          <w:color w:val="0D0D0D" w:themeColor="text1" w:themeTint="F2"/>
        </w:rPr>
        <w:t xml:space="preserve"> </w:t>
      </w:r>
      <w:r w:rsidRPr="008C1D0F">
        <w:rPr>
          <w:color w:val="0D0D0D" w:themeColor="text1" w:themeTint="F2"/>
        </w:rPr>
        <w:t>sigurimi, të tjera shërbime bazë</w:t>
      </w:r>
    </w:p>
    <w:p w:rsidR="00717282" w:rsidRPr="008C1D0F" w:rsidRDefault="00717282" w:rsidP="00717282">
      <w:pPr>
        <w:spacing w:line="276" w:lineRule="auto"/>
        <w:jc w:val="both"/>
        <w:rPr>
          <w:color w:val="0D0D0D" w:themeColor="text1" w:themeTint="F2"/>
        </w:rPr>
      </w:pPr>
    </w:p>
    <w:p w:rsidR="00717282" w:rsidRPr="008C1D0F" w:rsidRDefault="00717282" w:rsidP="00717282">
      <w:pPr>
        <w:spacing w:line="276" w:lineRule="auto"/>
        <w:jc w:val="both"/>
        <w:rPr>
          <w:color w:val="0D0D0D" w:themeColor="text1" w:themeTint="F2"/>
        </w:rPr>
      </w:pPr>
      <w:r w:rsidRPr="008C1D0F">
        <w:rPr>
          <w:color w:val="0D0D0D" w:themeColor="text1" w:themeTint="F2"/>
        </w:rPr>
        <w:t xml:space="preserve">Mosrealizimet në zërin </w:t>
      </w:r>
      <w:r w:rsidR="00E02FC8" w:rsidRPr="008C1D0F">
        <w:rPr>
          <w:color w:val="0D0D0D" w:themeColor="text1" w:themeTint="F2"/>
        </w:rPr>
        <w:t>(602) të</w:t>
      </w:r>
      <w:r w:rsidRPr="008C1D0F">
        <w:rPr>
          <w:color w:val="0D0D0D" w:themeColor="text1" w:themeTint="F2"/>
        </w:rPr>
        <w:t xml:space="preserve"> shpenzimeve operative</w:t>
      </w:r>
      <w:r w:rsidR="00E02FC8" w:rsidRPr="008C1D0F">
        <w:rPr>
          <w:color w:val="0D0D0D" w:themeColor="text1" w:themeTint="F2"/>
        </w:rPr>
        <w:t xml:space="preserve">, </w:t>
      </w:r>
      <w:r w:rsidR="00A21D52">
        <w:rPr>
          <w:color w:val="0D0D0D" w:themeColor="text1" w:themeTint="F2"/>
        </w:rPr>
        <w:t>i realizuar në masën 97</w:t>
      </w:r>
      <w:r w:rsidR="006760C0" w:rsidRPr="008C1D0F">
        <w:rPr>
          <w:color w:val="0D0D0D" w:themeColor="text1" w:themeTint="F2"/>
        </w:rPr>
        <w:t xml:space="preserve">%, </w:t>
      </w:r>
      <w:r w:rsidRPr="008C1D0F">
        <w:rPr>
          <w:color w:val="0D0D0D" w:themeColor="text1" w:themeTint="F2"/>
        </w:rPr>
        <w:t>ka</w:t>
      </w:r>
      <w:r w:rsidR="00A21D52">
        <w:rPr>
          <w:color w:val="0D0D0D" w:themeColor="text1" w:themeTint="F2"/>
        </w:rPr>
        <w:t xml:space="preserve"> ardhur si rez</w:t>
      </w:r>
      <w:r w:rsidRPr="008C1D0F">
        <w:rPr>
          <w:color w:val="0D0D0D" w:themeColor="text1" w:themeTint="F2"/>
        </w:rPr>
        <w:t xml:space="preserve">ultat i </w:t>
      </w:r>
      <w:r w:rsidR="006760C0" w:rsidRPr="008C1D0F">
        <w:rPr>
          <w:color w:val="0D0D0D" w:themeColor="text1" w:themeTint="F2"/>
        </w:rPr>
        <w:t>efekteve pozitive nga ndj</w:t>
      </w:r>
      <w:r w:rsidR="00E02FC8" w:rsidRPr="008C1D0F">
        <w:rPr>
          <w:color w:val="0D0D0D" w:themeColor="text1" w:themeTint="F2"/>
        </w:rPr>
        <w:t>e</w:t>
      </w:r>
      <w:r w:rsidR="006760C0" w:rsidRPr="008C1D0F">
        <w:rPr>
          <w:color w:val="0D0D0D" w:themeColor="text1" w:themeTint="F2"/>
        </w:rPr>
        <w:t>kja</w:t>
      </w:r>
      <w:r w:rsidR="00A21D52">
        <w:rPr>
          <w:color w:val="0D0D0D" w:themeColor="text1" w:themeTint="F2"/>
        </w:rPr>
        <w:t xml:space="preserve"> e procedurave të prokurimeve.</w:t>
      </w:r>
    </w:p>
    <w:p w:rsidR="00075913" w:rsidRPr="008C1D0F" w:rsidRDefault="00075913" w:rsidP="00075913">
      <w:pPr>
        <w:spacing w:line="276" w:lineRule="auto"/>
        <w:jc w:val="both"/>
        <w:rPr>
          <w:color w:val="0D0D0D" w:themeColor="text1" w:themeTint="F2"/>
        </w:rPr>
      </w:pPr>
    </w:p>
    <w:p w:rsidR="00717282" w:rsidRPr="008C1D0F" w:rsidRDefault="00717282" w:rsidP="006760C0">
      <w:pPr>
        <w:spacing w:line="276" w:lineRule="auto"/>
        <w:jc w:val="both"/>
        <w:rPr>
          <w:rFonts w:eastAsia="Batang"/>
          <w:lang w:val="sv-SE"/>
        </w:rPr>
      </w:pPr>
      <w:r w:rsidRPr="008C1D0F">
        <w:rPr>
          <w:rFonts w:eastAsia="Batang"/>
          <w:lang w:val="sv-SE"/>
        </w:rPr>
        <w:t>-</w:t>
      </w:r>
      <w:r w:rsidRPr="008C1D0F">
        <w:t xml:space="preserve">Në zërin </w:t>
      </w:r>
      <w:r w:rsidR="001C0E0A" w:rsidRPr="008C1D0F">
        <w:t xml:space="preserve">606, </w:t>
      </w:r>
      <w:r w:rsidR="001C0E0A" w:rsidRPr="008C1D0F">
        <w:rPr>
          <w:b/>
        </w:rPr>
        <w:t>T</w:t>
      </w:r>
      <w:r w:rsidRPr="008C1D0F">
        <w:rPr>
          <w:b/>
        </w:rPr>
        <w:t>ransferime buxhetesh</w:t>
      </w:r>
      <w:r w:rsidR="00A21D52">
        <w:t xml:space="preserve">, ku është </w:t>
      </w:r>
      <w:r w:rsidRPr="008C1D0F">
        <w:t>përfshirë edhe plani i fondit të ve</w:t>
      </w:r>
      <w:r w:rsidR="00A21D52">
        <w:t>ç</w:t>
      </w:r>
      <w:r w:rsidRPr="008C1D0F">
        <w:t>antë, për vitin 2020</w:t>
      </w:r>
      <w:r w:rsidR="001C0E0A" w:rsidRPr="008C1D0F">
        <w:t xml:space="preserve">, </w:t>
      </w:r>
      <w:r w:rsidR="00A21D52">
        <w:t>janë shpenzuar 270 (</w:t>
      </w:r>
      <w:r w:rsidRPr="008C1D0F">
        <w:t>në mi</w:t>
      </w:r>
      <w:r w:rsidR="00A21D52">
        <w:t>jë lekë), e barabartë kjo me 61</w:t>
      </w:r>
      <w:r w:rsidRPr="008C1D0F">
        <w:t>%. Duket që ka një masë të ulët të realizimit, rezulta</w:t>
      </w:r>
      <w:r w:rsidR="00A21D52">
        <w:t>t i së cilës vjen nga përdorimi i fondit të veçantë në masën 15</w:t>
      </w:r>
      <w:r w:rsidRPr="008C1D0F">
        <w:t>%, rast pas rasti.</w:t>
      </w:r>
    </w:p>
    <w:p w:rsidR="00BC2353" w:rsidRPr="008C1D0F" w:rsidRDefault="00717282" w:rsidP="00803AB1">
      <w:pPr>
        <w:widowControl w:val="0"/>
        <w:spacing w:line="276" w:lineRule="auto"/>
        <w:jc w:val="both"/>
      </w:pPr>
      <w:r w:rsidRPr="008C1D0F">
        <w:t>Fondit i veçantë, llogaria 606, planifikuar p</w:t>
      </w:r>
      <w:r w:rsidR="006760C0" w:rsidRPr="008C1D0F">
        <w:t>ë</w:t>
      </w:r>
      <w:r w:rsidRPr="008C1D0F">
        <w:t>r Zyr</w:t>
      </w:r>
      <w:r w:rsidR="006760C0" w:rsidRPr="008C1D0F">
        <w:t>ë</w:t>
      </w:r>
      <w:r w:rsidRPr="008C1D0F">
        <w:t>n e Komisionerit</w:t>
      </w:r>
      <w:r w:rsidR="006760C0" w:rsidRPr="008C1D0F">
        <w:t>,</w:t>
      </w:r>
      <w:r w:rsidRPr="008C1D0F">
        <w:t xml:space="preserve"> në vlerën 200 (në mijë lekë)</w:t>
      </w:r>
      <w:r w:rsidR="006760C0" w:rsidRPr="008C1D0F">
        <w:t>,</w:t>
      </w:r>
      <w:r w:rsidR="00A21D52">
        <w:t xml:space="preserve"> </w:t>
      </w:r>
      <w:r w:rsidRPr="008C1D0F">
        <w:t>është përdorur nga Institucioni në zbatim të pikave 52-58, të Udhëzimit plotësues të Ministrit të Financave dhe Ekonomis</w:t>
      </w:r>
      <w:r w:rsidR="00A21D52">
        <w:t xml:space="preserve">ë nr.2 datë 20.01.2020, bazuar </w:t>
      </w:r>
      <w:r w:rsidRPr="008C1D0F">
        <w:t xml:space="preserve">në </w:t>
      </w:r>
      <w:r w:rsidR="00A21D52">
        <w:t>Vendimin nr.929, datë 17.11.2010 “</w:t>
      </w:r>
      <w:r w:rsidRPr="008C1D0F">
        <w:t>Për krijimin dhe përdorimin e f</w:t>
      </w:r>
      <w:r w:rsidR="001C0E0A" w:rsidRPr="008C1D0F">
        <w:t>ondit të veçantë”, në vlerën 30 (në mijë) lekë</w:t>
      </w:r>
      <w:r w:rsidR="006760C0" w:rsidRPr="008C1D0F">
        <w:t xml:space="preserve">, sipas rastit. Kjo ka ndikuar në nivelin e ulët të realizimit të </w:t>
      </w:r>
      <w:r w:rsidR="00A21D52">
        <w:t>kategorisë</w:t>
      </w:r>
      <w:r w:rsidR="006760C0" w:rsidRPr="008C1D0F">
        <w:t xml:space="preserve"> 606</w:t>
      </w:r>
      <w:r w:rsidR="001C0E0A" w:rsidRPr="008C1D0F">
        <w:t xml:space="preserve">, </w:t>
      </w:r>
      <w:r w:rsidR="001C0E0A" w:rsidRPr="008C1D0F">
        <w:rPr>
          <w:b/>
        </w:rPr>
        <w:t>Transferime buxhetesh.</w:t>
      </w:r>
      <w:r w:rsidR="006760C0" w:rsidRPr="008C1D0F">
        <w:t xml:space="preserve"> </w:t>
      </w:r>
    </w:p>
    <w:p w:rsidR="00075913" w:rsidRPr="008C1D0F" w:rsidRDefault="00075913" w:rsidP="0082582B">
      <w:pPr>
        <w:pStyle w:val="ListParagraph"/>
        <w:numPr>
          <w:ilvl w:val="0"/>
          <w:numId w:val="7"/>
        </w:numPr>
        <w:jc w:val="both"/>
        <w:rPr>
          <w:rFonts w:ascii="Times New Roman" w:eastAsia="Batang" w:hAnsi="Times New Roman"/>
          <w:sz w:val="24"/>
          <w:szCs w:val="24"/>
        </w:rPr>
      </w:pPr>
      <w:r w:rsidRPr="008C1D0F">
        <w:rPr>
          <w:rFonts w:ascii="Times New Roman" w:eastAsia="Batang" w:hAnsi="Times New Roman"/>
          <w:b/>
          <w:bCs/>
          <w:i/>
          <w:sz w:val="24"/>
          <w:szCs w:val="24"/>
          <w:u w:val="single"/>
        </w:rPr>
        <w:t>Fondi për shpenzime investime</w:t>
      </w:r>
      <w:r w:rsidR="00D37646" w:rsidRPr="008C1D0F">
        <w:rPr>
          <w:rFonts w:ascii="Times New Roman" w:eastAsia="Batang" w:hAnsi="Times New Roman"/>
          <w:b/>
          <w:bCs/>
          <w:i/>
          <w:sz w:val="24"/>
          <w:szCs w:val="24"/>
          <w:u w:val="single"/>
        </w:rPr>
        <w:t xml:space="preserve"> </w:t>
      </w:r>
      <w:r w:rsidRPr="008C1D0F">
        <w:rPr>
          <w:rFonts w:ascii="Times New Roman" w:eastAsia="Batang" w:hAnsi="Times New Roman"/>
          <w:b/>
          <w:i/>
          <w:sz w:val="24"/>
          <w:szCs w:val="24"/>
        </w:rPr>
        <w:t>(zëri 231</w:t>
      </w:r>
      <w:r w:rsidRPr="008C1D0F">
        <w:rPr>
          <w:rFonts w:ascii="Times New Roman" w:eastAsia="Batang" w:hAnsi="Times New Roman"/>
          <w:b/>
          <w:sz w:val="24"/>
          <w:szCs w:val="24"/>
        </w:rPr>
        <w:t xml:space="preserve">), </w:t>
      </w:r>
      <w:r w:rsidRPr="008C1D0F">
        <w:rPr>
          <w:rFonts w:ascii="Times New Roman" w:eastAsia="Batang" w:hAnsi="Times New Roman"/>
          <w:sz w:val="24"/>
          <w:szCs w:val="24"/>
        </w:rPr>
        <w:t>ku vlera e planit vjetor të fon</w:t>
      </w:r>
      <w:r w:rsidR="00BB2EF3" w:rsidRPr="008C1D0F">
        <w:rPr>
          <w:rFonts w:ascii="Times New Roman" w:eastAsia="Batang" w:hAnsi="Times New Roman"/>
          <w:sz w:val="24"/>
          <w:szCs w:val="24"/>
        </w:rPr>
        <w:t>dit të investimeve është 1.000 (në mijë) lekë</w:t>
      </w:r>
      <w:r w:rsidR="006B1688">
        <w:rPr>
          <w:rFonts w:ascii="Times New Roman" w:eastAsia="Batang" w:hAnsi="Times New Roman"/>
          <w:sz w:val="24"/>
          <w:szCs w:val="24"/>
        </w:rPr>
        <w:t>.</w:t>
      </w:r>
    </w:p>
    <w:p w:rsidR="005A6879" w:rsidRPr="008C1D0F" w:rsidRDefault="00075913" w:rsidP="00075913">
      <w:pPr>
        <w:spacing w:after="40" w:line="276" w:lineRule="auto"/>
        <w:jc w:val="both"/>
        <w:rPr>
          <w:color w:val="0D0D0D" w:themeColor="text1" w:themeTint="F2"/>
        </w:rPr>
      </w:pPr>
      <w:r w:rsidRPr="008C1D0F">
        <w:rPr>
          <w:color w:val="0D0D0D" w:themeColor="text1" w:themeTint="F2"/>
        </w:rPr>
        <w:t>Në zbatim të planit për investime, Zyra e Komisionerit ka hartuar planin e prokurimeve, i cili për vitin 2020</w:t>
      </w:r>
      <w:r w:rsidR="006B1688">
        <w:rPr>
          <w:color w:val="0D0D0D" w:themeColor="text1" w:themeTint="F2"/>
        </w:rPr>
        <w:t xml:space="preserve">, përmban 2 procedura prokurimi, </w:t>
      </w:r>
      <w:r w:rsidRPr="008C1D0F">
        <w:rPr>
          <w:color w:val="0D0D0D" w:themeColor="text1" w:themeTint="F2"/>
        </w:rPr>
        <w:t>nëpërmjet prokurimeve me vlera të vogla</w:t>
      </w:r>
      <w:r w:rsidR="006B1688">
        <w:rPr>
          <w:color w:val="0D0D0D" w:themeColor="text1" w:themeTint="F2"/>
        </w:rPr>
        <w:t xml:space="preserve">, realizuar sa më poshtë: </w:t>
      </w:r>
      <w:r w:rsidRPr="008C1D0F">
        <w:rPr>
          <w:color w:val="0D0D0D" w:themeColor="text1" w:themeTint="F2"/>
        </w:rPr>
        <w:t xml:space="preserve"> </w:t>
      </w:r>
    </w:p>
    <w:p w:rsidR="005A6879" w:rsidRPr="008C1D0F" w:rsidRDefault="005A6879" w:rsidP="00075913">
      <w:pPr>
        <w:spacing w:after="40" w:line="276" w:lineRule="auto"/>
        <w:jc w:val="both"/>
        <w:rPr>
          <w:color w:val="0D0D0D" w:themeColor="text1" w:themeTint="F2"/>
        </w:rPr>
      </w:pPr>
      <w:r w:rsidRPr="008C1D0F">
        <w:rPr>
          <w:color w:val="0D0D0D" w:themeColor="text1" w:themeTint="F2"/>
        </w:rPr>
        <w:t>-</w:t>
      </w:r>
      <w:r w:rsidR="00C66D70">
        <w:rPr>
          <w:color w:val="0D0D0D" w:themeColor="text1" w:themeTint="F2"/>
        </w:rPr>
        <w:t xml:space="preserve"> </w:t>
      </w:r>
      <w:r w:rsidR="006B1688" w:rsidRPr="008C1D0F">
        <w:rPr>
          <w:color w:val="0D0D0D" w:themeColor="text1" w:themeTint="F2"/>
        </w:rPr>
        <w:t>“Blerje Pajisje kompjuterike”,</w:t>
      </w:r>
      <w:r w:rsidR="006B1688">
        <w:rPr>
          <w:color w:val="0D0D0D" w:themeColor="text1" w:themeTint="F2"/>
        </w:rPr>
        <w:t xml:space="preserve"> </w:t>
      </w:r>
      <w:r w:rsidR="00075913" w:rsidRPr="008C1D0F">
        <w:rPr>
          <w:color w:val="0D0D0D" w:themeColor="text1" w:themeTint="F2"/>
        </w:rPr>
        <w:t>për sigurimin e paj</w:t>
      </w:r>
      <w:r w:rsidRPr="008C1D0F">
        <w:rPr>
          <w:color w:val="0D0D0D" w:themeColor="text1" w:themeTint="F2"/>
        </w:rPr>
        <w:t>isjeve</w:t>
      </w:r>
      <w:r w:rsidR="00075913" w:rsidRPr="008C1D0F">
        <w:rPr>
          <w:color w:val="0D0D0D" w:themeColor="text1" w:themeTint="F2"/>
        </w:rPr>
        <w:t xml:space="preserve"> </w:t>
      </w:r>
      <w:r w:rsidRPr="008C1D0F">
        <w:rPr>
          <w:color w:val="0D0D0D" w:themeColor="text1" w:themeTint="F2"/>
        </w:rPr>
        <w:t>IT</w:t>
      </w:r>
      <w:r w:rsidR="00075913" w:rsidRPr="008C1D0F">
        <w:rPr>
          <w:color w:val="0D0D0D" w:themeColor="text1" w:themeTint="F2"/>
        </w:rPr>
        <w:t xml:space="preserve">, </w:t>
      </w:r>
      <w:r w:rsidR="00A21D52">
        <w:rPr>
          <w:color w:val="0D0D0D" w:themeColor="text1" w:themeTint="F2"/>
        </w:rPr>
        <w:t>është</w:t>
      </w:r>
      <w:r w:rsidR="00075913" w:rsidRPr="008C1D0F">
        <w:rPr>
          <w:color w:val="0D0D0D" w:themeColor="text1" w:themeTint="F2"/>
        </w:rPr>
        <w:t xml:space="preserve"> </w:t>
      </w:r>
      <w:r w:rsidR="00CE26A1" w:rsidRPr="008C1D0F">
        <w:rPr>
          <w:color w:val="0D0D0D" w:themeColor="text1" w:themeTint="F2"/>
        </w:rPr>
        <w:t xml:space="preserve">realizuar </w:t>
      </w:r>
      <w:r w:rsidR="00075913" w:rsidRPr="008C1D0F">
        <w:rPr>
          <w:color w:val="0D0D0D" w:themeColor="text1" w:themeTint="F2"/>
        </w:rPr>
        <w:t>në</w:t>
      </w:r>
      <w:r w:rsidR="00BB2EF3" w:rsidRPr="008C1D0F">
        <w:rPr>
          <w:color w:val="0D0D0D" w:themeColor="text1" w:themeTint="F2"/>
        </w:rPr>
        <w:t xml:space="preserve"> vlerën 935 (në mijë</w:t>
      </w:r>
      <w:r w:rsidR="00075913" w:rsidRPr="008C1D0F">
        <w:rPr>
          <w:color w:val="0D0D0D" w:themeColor="text1" w:themeTint="F2"/>
        </w:rPr>
        <w:t>) lekë</w:t>
      </w:r>
    </w:p>
    <w:p w:rsidR="00075913" w:rsidRPr="008C1D0F" w:rsidRDefault="005A6879" w:rsidP="00075913">
      <w:pPr>
        <w:spacing w:after="40" w:line="276" w:lineRule="auto"/>
        <w:jc w:val="both"/>
        <w:rPr>
          <w:lang w:val="it-IT"/>
        </w:rPr>
      </w:pPr>
      <w:r w:rsidRPr="008C1D0F">
        <w:rPr>
          <w:color w:val="0D0D0D" w:themeColor="text1" w:themeTint="F2"/>
        </w:rPr>
        <w:t>-</w:t>
      </w:r>
      <w:r w:rsidR="00075913" w:rsidRPr="008C1D0F">
        <w:rPr>
          <w:color w:val="0D0D0D" w:themeColor="text1" w:themeTint="F2"/>
        </w:rPr>
        <w:t xml:space="preserve"> </w:t>
      </w:r>
      <w:r w:rsidR="00F05DE6">
        <w:rPr>
          <w:color w:val="0D0D0D" w:themeColor="text1" w:themeTint="F2"/>
        </w:rPr>
        <w:t>“</w:t>
      </w:r>
      <w:r w:rsidR="00F05DE6" w:rsidRPr="008C1D0F">
        <w:rPr>
          <w:color w:val="0D0D0D" w:themeColor="text1" w:themeTint="F2"/>
        </w:rPr>
        <w:t xml:space="preserve">Blerje Pajisje </w:t>
      </w:r>
      <w:r w:rsidR="00A21D52">
        <w:rPr>
          <w:color w:val="0D0D0D" w:themeColor="text1" w:themeTint="F2"/>
        </w:rPr>
        <w:t>mo</w:t>
      </w:r>
      <w:r w:rsidR="00F05DE6">
        <w:rPr>
          <w:color w:val="0D0D0D" w:themeColor="text1" w:themeTint="F2"/>
        </w:rPr>
        <w:t xml:space="preserve">bilerie”, </w:t>
      </w:r>
      <w:r w:rsidR="00075913" w:rsidRPr="008C1D0F">
        <w:rPr>
          <w:lang w:val="it-IT"/>
        </w:rPr>
        <w:t xml:space="preserve">procedura e </w:t>
      </w:r>
      <w:r w:rsidRPr="008C1D0F">
        <w:rPr>
          <w:lang w:val="it-IT"/>
        </w:rPr>
        <w:t xml:space="preserve">thjeshtuar e </w:t>
      </w:r>
      <w:r w:rsidR="00075913" w:rsidRPr="008C1D0F">
        <w:rPr>
          <w:lang w:val="it-IT"/>
        </w:rPr>
        <w:t xml:space="preserve">mobilimit, </w:t>
      </w:r>
      <w:r w:rsidR="00CE26A1" w:rsidRPr="008C1D0F">
        <w:rPr>
          <w:lang w:val="it-IT"/>
        </w:rPr>
        <w:t xml:space="preserve">realizuar </w:t>
      </w:r>
      <w:r w:rsidR="00BB2EF3" w:rsidRPr="008C1D0F">
        <w:rPr>
          <w:lang w:val="it-IT"/>
        </w:rPr>
        <w:t>në vlerën rreth 65 (</w:t>
      </w:r>
      <w:r w:rsidR="00075913" w:rsidRPr="008C1D0F">
        <w:rPr>
          <w:lang w:val="it-IT"/>
        </w:rPr>
        <w:t xml:space="preserve">në mijë lekë). </w:t>
      </w:r>
    </w:p>
    <w:p w:rsidR="005A6879" w:rsidRPr="008C1D0F" w:rsidRDefault="00CE26A1" w:rsidP="006560A0">
      <w:pPr>
        <w:spacing w:line="276" w:lineRule="auto"/>
        <w:jc w:val="both"/>
        <w:rPr>
          <w:rFonts w:eastAsia="Batang"/>
        </w:rPr>
      </w:pPr>
      <w:r w:rsidRPr="008C1D0F">
        <w:rPr>
          <w:rFonts w:eastAsia="Batang"/>
        </w:rPr>
        <w:t>Pra sikundër referohet realizimi fondi p</w:t>
      </w:r>
      <w:r w:rsidR="00C66D70">
        <w:rPr>
          <w:rFonts w:eastAsia="Batang"/>
        </w:rPr>
        <w:t xml:space="preserve">er investime është i realizuar </w:t>
      </w:r>
      <w:r w:rsidRPr="008C1D0F">
        <w:rPr>
          <w:rFonts w:eastAsia="Batang"/>
        </w:rPr>
        <w:t xml:space="preserve">plotësisht në masën </w:t>
      </w:r>
      <w:r w:rsidR="00C67E33" w:rsidRPr="008C1D0F">
        <w:rPr>
          <w:rFonts w:eastAsia="Batang"/>
        </w:rPr>
        <w:t xml:space="preserve">gati </w:t>
      </w:r>
      <w:r w:rsidR="00F05DE6">
        <w:rPr>
          <w:rFonts w:eastAsia="Batang"/>
        </w:rPr>
        <w:t>99.99</w:t>
      </w:r>
      <w:r w:rsidR="00C67E33" w:rsidRPr="008C1D0F">
        <w:rPr>
          <w:rFonts w:eastAsia="Batang"/>
        </w:rPr>
        <w:t xml:space="preserve"> </w:t>
      </w:r>
      <w:r w:rsidRPr="008C1D0F">
        <w:rPr>
          <w:rFonts w:eastAsia="Batang"/>
        </w:rPr>
        <w:t xml:space="preserve">% </w:t>
      </w:r>
    </w:p>
    <w:p w:rsidR="00CE26A1" w:rsidRPr="008C1D0F" w:rsidRDefault="00CE26A1" w:rsidP="006560A0">
      <w:pPr>
        <w:spacing w:line="276" w:lineRule="auto"/>
        <w:jc w:val="both"/>
        <w:rPr>
          <w:rFonts w:eastAsia="Batang"/>
          <w:b/>
        </w:rPr>
      </w:pPr>
    </w:p>
    <w:p w:rsidR="00CE26A1" w:rsidRPr="00F05DE6" w:rsidRDefault="00BC2353" w:rsidP="00F05DE6">
      <w:pPr>
        <w:spacing w:line="276" w:lineRule="auto"/>
        <w:jc w:val="both"/>
        <w:rPr>
          <w:rFonts w:eastAsia="Batang"/>
        </w:rPr>
      </w:pPr>
      <w:r w:rsidRPr="008C1D0F">
        <w:rPr>
          <w:rFonts w:eastAsia="Batang"/>
          <w:b/>
        </w:rPr>
        <w:t xml:space="preserve">Në Aneksin nr. 3 </w:t>
      </w:r>
      <w:r w:rsidRPr="008C1D0F">
        <w:rPr>
          <w:rFonts w:eastAsia="Batang"/>
        </w:rPr>
        <w:t>është paraqitur realizimi i treguesve të performancës/produkteve (në sasi dhe vlerë) në z</w:t>
      </w:r>
      <w:r w:rsidR="00BB2EF3" w:rsidRPr="008C1D0F">
        <w:rPr>
          <w:rFonts w:eastAsia="Batang"/>
        </w:rPr>
        <w:t xml:space="preserve">batim të objektivave për vitin </w:t>
      </w:r>
      <w:r w:rsidRPr="008C1D0F">
        <w:rPr>
          <w:rFonts w:eastAsia="Batang"/>
        </w:rPr>
        <w:t>2020 .</w:t>
      </w:r>
    </w:p>
    <w:p w:rsidR="006560A0" w:rsidRPr="008C1D0F" w:rsidRDefault="006560A0" w:rsidP="00CE26A1">
      <w:pPr>
        <w:pStyle w:val="ListParagraph"/>
        <w:ind w:left="0"/>
        <w:contextualSpacing w:val="0"/>
        <w:jc w:val="both"/>
        <w:rPr>
          <w:rFonts w:ascii="Times New Roman" w:hAnsi="Times New Roman"/>
          <w:sz w:val="24"/>
          <w:szCs w:val="24"/>
        </w:rPr>
      </w:pPr>
      <w:r w:rsidRPr="008C1D0F">
        <w:rPr>
          <w:rFonts w:ascii="Times New Roman" w:hAnsi="Times New Roman"/>
          <w:sz w:val="24"/>
          <w:szCs w:val="24"/>
        </w:rPr>
        <w:t>Mbikëqyrja e zbatimit të Ligjit nr. 119/2014 “Për të Drejtën e Informimit”, është kryer nëpërmjet monitorimit të elementëve të ndryshëm të ligjit si p.sh. numri i autoriteteve publike që kanë hartuar programet e transparencës, koordinatorë të caktuar nga autoritetet publike, përditësimi i regjistrit të kërkesave dhe përgjigjeve, numri i ankesave të shqyrtuara, hetimet e kryera, seanca dëgjimore të zhvilluara si dhe vendimet e dhëna. Produktet kryesore janë:</w:t>
      </w:r>
    </w:p>
    <w:p w:rsidR="006560A0" w:rsidRPr="008C1D0F" w:rsidRDefault="006560A0" w:rsidP="006560A0">
      <w:pPr>
        <w:spacing w:after="160" w:line="259" w:lineRule="auto"/>
        <w:jc w:val="both"/>
      </w:pPr>
      <w:r w:rsidRPr="008C1D0F">
        <w:rPr>
          <w:rFonts w:eastAsia="Batang"/>
          <w:b/>
        </w:rPr>
        <w:t>Nënprodukti A:</w:t>
      </w:r>
      <w:r w:rsidR="00817046" w:rsidRPr="008C1D0F">
        <w:rPr>
          <w:rFonts w:eastAsia="Batang"/>
          <w:b/>
        </w:rPr>
        <w:t xml:space="preserve"> </w:t>
      </w:r>
      <w:r w:rsidRPr="008C1D0F">
        <w:rPr>
          <w:b/>
        </w:rPr>
        <w:t>Trajtim i ankesave brenda afateve</w:t>
      </w:r>
      <w:r w:rsidRPr="008C1D0F">
        <w:t xml:space="preserve"> (kthim përgjigje/inspektime/ vendime, kryesisht në bazë të ankesave</w:t>
      </w:r>
      <w:r w:rsidR="00BB2EF3" w:rsidRPr="008C1D0F">
        <w:t xml:space="preserve"> (</w:t>
      </w:r>
      <w:r w:rsidR="007F44D7" w:rsidRPr="008C1D0F">
        <w:t>i ndryshuar)</w:t>
      </w:r>
      <w:r w:rsidRPr="008C1D0F">
        <w:t xml:space="preserve">, rreth </w:t>
      </w:r>
      <w:r w:rsidR="007F44D7" w:rsidRPr="008C1D0F">
        <w:t>700</w:t>
      </w:r>
      <w:r w:rsidRPr="008C1D0F">
        <w:t>+-)</w:t>
      </w:r>
    </w:p>
    <w:p w:rsidR="006560A0" w:rsidRPr="008C1D0F" w:rsidRDefault="006560A0" w:rsidP="006560A0">
      <w:pPr>
        <w:spacing w:after="160" w:line="276" w:lineRule="auto"/>
        <w:jc w:val="both"/>
      </w:pPr>
      <w:r w:rsidRPr="008C1D0F">
        <w:t>Gjatë vitit 2020, Zyra e Komisionerit ka vijuar me monitorimin e zbatimit të ligjit për të drejtën e informimit, duke shqyrtuar jo vetëm ankesat e depozituara, por duke kryer gjithashtu inspektime, seanca dëgjimore si dhe duke marrë vendime urdhërimi apo sanksionimi sipas ligjit për rastet kur është konstatuar refuzim i padrejtë i vënies në dispozicion të informacionit.</w:t>
      </w:r>
    </w:p>
    <w:p w:rsidR="002651B7" w:rsidRPr="008C1D0F" w:rsidRDefault="00A31D41" w:rsidP="00D37646">
      <w:pPr>
        <w:spacing w:line="276" w:lineRule="auto"/>
        <w:jc w:val="both"/>
      </w:pPr>
      <w:r w:rsidRPr="008C1D0F">
        <w:t>Gjat</w:t>
      </w:r>
      <w:r w:rsidR="00CE26A1" w:rsidRPr="008C1D0F">
        <w:t>ë</w:t>
      </w:r>
      <w:r w:rsidRPr="008C1D0F">
        <w:t xml:space="preserve"> vitit 2020, </w:t>
      </w:r>
      <w:r w:rsidR="00D37646" w:rsidRPr="008C1D0F">
        <w:t xml:space="preserve">janë depozituar pranë Zyrës së Komisionerit </w:t>
      </w:r>
      <w:r w:rsidRPr="008C1D0F">
        <w:rPr>
          <w:b/>
        </w:rPr>
        <w:t>715</w:t>
      </w:r>
      <w:r w:rsidR="00D37646" w:rsidRPr="008C1D0F">
        <w:rPr>
          <w:b/>
        </w:rPr>
        <w:t xml:space="preserve"> </w:t>
      </w:r>
      <w:r w:rsidRPr="008C1D0F">
        <w:rPr>
          <w:b/>
        </w:rPr>
        <w:t>ankesa</w:t>
      </w:r>
      <w:r w:rsidRPr="008C1D0F">
        <w:t>. Nga numri total i ankesave, 470 prej tyre kanë proceduar me dhënien e informacionit gjatë procesit të hetimit administrativ</w:t>
      </w:r>
      <w:r w:rsidR="002651B7" w:rsidRPr="008C1D0F">
        <w:t xml:space="preserve">, pasi Autoritetet Publike, kanë përmbushur të drejtën e njohjes me informacionin/dokumentacionin e kërkuar. </w:t>
      </w:r>
      <w:r w:rsidRPr="008C1D0F">
        <w:t>Për 35 ankesa, Komisioneri është shprehur me vendim, 26 ankesa kanë rezultuar jashtë afatit, 13 të paplota, 131 jashtë objektit të ligj</w:t>
      </w:r>
      <w:r w:rsidR="00C66D70">
        <w:t>it, 23 u trajtuan sipas kufizim</w:t>
      </w:r>
      <w:r w:rsidRPr="008C1D0F">
        <w:t xml:space="preserve">eve te nenit 17 </w:t>
      </w:r>
      <w:r w:rsidR="002651B7" w:rsidRPr="008C1D0F">
        <w:t xml:space="preserve">të ligjit për  të drejtën e informimit, 1 ankesë është pezulluar dhe 44 ankesa janë mbartur për vitin 2021. Gjatë vitit 2020, janë trajtuar edhe 28 ankesa të mbartuara nga viti 2019. </w:t>
      </w:r>
    </w:p>
    <w:p w:rsidR="002651B7" w:rsidRPr="008C1D0F" w:rsidRDefault="002651B7" w:rsidP="00D37646">
      <w:pPr>
        <w:spacing w:line="276" w:lineRule="auto"/>
        <w:jc w:val="both"/>
      </w:pPr>
      <w:r w:rsidRPr="008C1D0F">
        <w:t>Gjat</w:t>
      </w:r>
      <w:r w:rsidR="00CE26A1" w:rsidRPr="008C1D0F">
        <w:t>ë</w:t>
      </w:r>
      <w:r w:rsidRPr="008C1D0F">
        <w:t xml:space="preserve"> k</w:t>
      </w:r>
      <w:r w:rsidR="00CE26A1" w:rsidRPr="008C1D0F">
        <w:t>ë</w:t>
      </w:r>
      <w:r w:rsidRPr="008C1D0F">
        <w:t>tij viti vi</w:t>
      </w:r>
      <w:r w:rsidR="00CE26A1" w:rsidRPr="008C1D0F">
        <w:t xml:space="preserve">het </w:t>
      </w:r>
      <w:r w:rsidRPr="008C1D0F">
        <w:t>re nj</w:t>
      </w:r>
      <w:r w:rsidR="00CE26A1" w:rsidRPr="008C1D0F">
        <w:t>ë</w:t>
      </w:r>
      <w:r w:rsidR="00C66D70">
        <w:t xml:space="preserve"> ulje me 10</w:t>
      </w:r>
      <w:r w:rsidRPr="008C1D0F">
        <w:t>% e numrit t</w:t>
      </w:r>
      <w:r w:rsidR="00CE26A1" w:rsidRPr="008C1D0F">
        <w:t>ë</w:t>
      </w:r>
      <w:r w:rsidR="00F05DE6">
        <w:t xml:space="preserve"> ankesave</w:t>
      </w:r>
      <w:r w:rsidRPr="008C1D0F">
        <w:t>, krahasuar me nj</w:t>
      </w:r>
      <w:r w:rsidR="00CE26A1" w:rsidRPr="008C1D0F">
        <w:t>ë</w:t>
      </w:r>
      <w:r w:rsidRPr="008C1D0F">
        <w:t xml:space="preserve"> vit m</w:t>
      </w:r>
      <w:r w:rsidR="00CE26A1" w:rsidRPr="008C1D0F">
        <w:t xml:space="preserve">ë </w:t>
      </w:r>
      <w:r w:rsidRPr="008C1D0F">
        <w:t>par</w:t>
      </w:r>
      <w:r w:rsidR="00CE26A1" w:rsidRPr="008C1D0F">
        <w:t>ë</w:t>
      </w:r>
      <w:r w:rsidRPr="008C1D0F">
        <w:t>. Kjo tendenc</w:t>
      </w:r>
      <w:r w:rsidR="00CE26A1" w:rsidRPr="008C1D0F">
        <w:t>ë</w:t>
      </w:r>
      <w:r w:rsidRPr="008C1D0F">
        <w:t xml:space="preserve"> </w:t>
      </w:r>
      <w:r w:rsidR="006C7603" w:rsidRPr="008C1D0F">
        <w:t>n</w:t>
      </w:r>
      <w:r w:rsidR="00CE26A1" w:rsidRPr="008C1D0F">
        <w:t>ë</w:t>
      </w:r>
      <w:r w:rsidR="006C7603" w:rsidRPr="008C1D0F">
        <w:t xml:space="preserve"> </w:t>
      </w:r>
      <w:r w:rsidRPr="008C1D0F">
        <w:t>r</w:t>
      </w:r>
      <w:r w:rsidR="00CE26A1" w:rsidRPr="008C1D0F">
        <w:t>ë</w:t>
      </w:r>
      <w:r w:rsidRPr="008C1D0F">
        <w:t>nie</w:t>
      </w:r>
      <w:r w:rsidR="006C7603" w:rsidRPr="008C1D0F">
        <w:t>, mund t</w:t>
      </w:r>
      <w:r w:rsidR="00CE26A1" w:rsidRPr="008C1D0F">
        <w:t>ë</w:t>
      </w:r>
      <w:r w:rsidR="006C7603" w:rsidRPr="008C1D0F">
        <w:t xml:space="preserve"> shp</w:t>
      </w:r>
      <w:r w:rsidR="00CE26A1" w:rsidRPr="008C1D0F">
        <w:t>je</w:t>
      </w:r>
      <w:r w:rsidR="006C7603" w:rsidRPr="008C1D0F">
        <w:t>gohet edhe p</w:t>
      </w:r>
      <w:r w:rsidR="00CE26A1" w:rsidRPr="008C1D0F">
        <w:t>ë</w:t>
      </w:r>
      <w:r w:rsidR="006C7603" w:rsidRPr="008C1D0F">
        <w:t>r shkak t</w:t>
      </w:r>
      <w:r w:rsidR="00CE26A1" w:rsidRPr="008C1D0F">
        <w:t>ë</w:t>
      </w:r>
      <w:r w:rsidR="00C66D70">
        <w:t xml:space="preserve"> situatë</w:t>
      </w:r>
      <w:r w:rsidR="006C7603" w:rsidRPr="008C1D0F">
        <w:t>s s</w:t>
      </w:r>
      <w:r w:rsidR="00CE26A1" w:rsidRPr="008C1D0F">
        <w:t>ë</w:t>
      </w:r>
      <w:r w:rsidR="006C7603" w:rsidRPr="008C1D0F">
        <w:t xml:space="preserve"> emergjenc</w:t>
      </w:r>
      <w:r w:rsidR="00CE26A1" w:rsidRPr="008C1D0F">
        <w:t>ë</w:t>
      </w:r>
      <w:r w:rsidR="006C7603" w:rsidRPr="008C1D0F">
        <w:t>s sh</w:t>
      </w:r>
      <w:r w:rsidR="00CE26A1" w:rsidRPr="008C1D0F">
        <w:t>ë</w:t>
      </w:r>
      <w:r w:rsidR="006C7603" w:rsidRPr="008C1D0F">
        <w:t>ndet</w:t>
      </w:r>
      <w:r w:rsidR="00CE26A1" w:rsidRPr="008C1D0F">
        <w:t>ë</w:t>
      </w:r>
      <w:r w:rsidR="006C7603" w:rsidRPr="008C1D0F">
        <w:t>sore n</w:t>
      </w:r>
      <w:r w:rsidR="00CE26A1" w:rsidRPr="008C1D0F">
        <w:t>ë</w:t>
      </w:r>
      <w:r w:rsidR="006C7603" w:rsidRPr="008C1D0F">
        <w:t xml:space="preserve"> vitin 2020. </w:t>
      </w:r>
    </w:p>
    <w:p w:rsidR="006C7603" w:rsidRPr="008C1D0F" w:rsidRDefault="00D37646" w:rsidP="00D37646">
      <w:pPr>
        <w:spacing w:line="276" w:lineRule="auto"/>
        <w:jc w:val="both"/>
      </w:pPr>
      <w:r w:rsidRPr="008C1D0F">
        <w:t>Gjatë kësaj periudhe për zbatimin e detyrimeve ligjore sipas përcaktimit të ligjit nr.119/2014 “Për të Drejtën e Informimit”, janë dë</w:t>
      </w:r>
      <w:r w:rsidR="00BB2EF3" w:rsidRPr="008C1D0F">
        <w:t xml:space="preserve">rguar </w:t>
      </w:r>
      <w:r w:rsidR="006C7603" w:rsidRPr="008C1D0F">
        <w:t>330</w:t>
      </w:r>
      <w:r w:rsidR="00BB2EF3" w:rsidRPr="008C1D0F">
        <w:t xml:space="preserve"> kë</w:t>
      </w:r>
      <w:r w:rsidRPr="008C1D0F">
        <w:t xml:space="preserve">rkesa për pararashtrime autoriteteve publike, </w:t>
      </w:r>
      <w:r w:rsidR="00C66D70">
        <w:t>ndërsa janë</w:t>
      </w:r>
      <w:r w:rsidRPr="008C1D0F">
        <w:t xml:space="preserve"> realizuar </w:t>
      </w:r>
      <w:r w:rsidR="00C66D70">
        <w:rPr>
          <w:b/>
        </w:rPr>
        <w:t>50</w:t>
      </w:r>
      <w:r w:rsidRPr="008C1D0F">
        <w:rPr>
          <w:b/>
        </w:rPr>
        <w:t xml:space="preserve"> inspektime</w:t>
      </w:r>
      <w:r w:rsidRPr="008C1D0F">
        <w:t xml:space="preserve"> </w:t>
      </w:r>
      <w:r w:rsidR="00C66D70">
        <w:t>e</w:t>
      </w:r>
      <w:r w:rsidR="00CE26A1" w:rsidRPr="00C66D70">
        <w:rPr>
          <w:b/>
        </w:rPr>
        <w:t xml:space="preserve"> </w:t>
      </w:r>
      <w:r w:rsidR="006C7603" w:rsidRPr="00C66D70">
        <w:rPr>
          <w:b/>
        </w:rPr>
        <w:t>1</w:t>
      </w:r>
      <w:r w:rsidRPr="00C66D70">
        <w:rPr>
          <w:b/>
        </w:rPr>
        <w:t>9</w:t>
      </w:r>
      <w:r w:rsidRPr="008C1D0F">
        <w:rPr>
          <w:b/>
        </w:rPr>
        <w:t xml:space="preserve"> seanca d</w:t>
      </w:r>
      <w:r w:rsidR="00CE26A1" w:rsidRPr="008C1D0F">
        <w:rPr>
          <w:b/>
        </w:rPr>
        <w:t>ë</w:t>
      </w:r>
      <w:r w:rsidRPr="008C1D0F">
        <w:rPr>
          <w:b/>
        </w:rPr>
        <w:t>gjimore</w:t>
      </w:r>
      <w:r w:rsidRPr="008C1D0F">
        <w:t xml:space="preserve">. </w:t>
      </w:r>
    </w:p>
    <w:p w:rsidR="006C7603" w:rsidRPr="008C1D0F" w:rsidRDefault="00D37646" w:rsidP="006C7603">
      <w:pPr>
        <w:spacing w:line="276" w:lineRule="auto"/>
        <w:jc w:val="both"/>
      </w:pPr>
      <w:r w:rsidRPr="008C1D0F">
        <w:t xml:space="preserve">Në përfundim të procesit administrativ të trajtimit të ankesave për këtë peirudhë në zbatim të Ligjit për të Drejtën e Informimit janë dhënë </w:t>
      </w:r>
      <w:r w:rsidR="006C7603" w:rsidRPr="008C1D0F">
        <w:rPr>
          <w:b/>
        </w:rPr>
        <w:t>35</w:t>
      </w:r>
      <w:r w:rsidRPr="008C1D0F">
        <w:rPr>
          <w:b/>
        </w:rPr>
        <w:t xml:space="preserve"> Vendime </w:t>
      </w:r>
      <w:r w:rsidRPr="008C1D0F">
        <w:t xml:space="preserve">nga të cilat </w:t>
      </w:r>
      <w:r w:rsidR="006C7603" w:rsidRPr="008C1D0F">
        <w:t>30</w:t>
      </w:r>
      <w:r w:rsidRPr="008C1D0F">
        <w:t xml:space="preserve"> janë vendime urdhërimi </w:t>
      </w:r>
      <w:r w:rsidR="006C7603" w:rsidRPr="008C1D0F">
        <w:t>për dhënie vendimi</w:t>
      </w:r>
      <w:r w:rsidRPr="008C1D0F">
        <w:t xml:space="preserve">, </w:t>
      </w:r>
      <w:r w:rsidR="006C7603" w:rsidRPr="008C1D0F">
        <w:t>4</w:t>
      </w:r>
      <w:r w:rsidRPr="008C1D0F">
        <w:t xml:space="preserve"> vendim</w:t>
      </w:r>
      <w:r w:rsidR="006C7603" w:rsidRPr="008C1D0F">
        <w:t>e</w:t>
      </w:r>
      <w:r w:rsidRPr="008C1D0F">
        <w:t xml:space="preserve"> rrëzimi ankese dhe 1 është vendim mospranimi ankese.</w:t>
      </w:r>
    </w:p>
    <w:p w:rsidR="006560A0" w:rsidRPr="008C1D0F" w:rsidRDefault="006560A0" w:rsidP="006C7603">
      <w:pPr>
        <w:spacing w:line="276" w:lineRule="auto"/>
        <w:jc w:val="both"/>
      </w:pPr>
      <w:r w:rsidRPr="008C1D0F">
        <w:t>Në zbatim të ligjit nr.119/2014 “Për të drejtën e informimit”,</w:t>
      </w:r>
      <w:r w:rsidR="00BB2EF3" w:rsidRPr="008C1D0F">
        <w:t xml:space="preserve"> </w:t>
      </w:r>
      <w:r w:rsidRPr="008C1D0F">
        <w:t>Zyra e Komisionerit ka vijuar punën për mbikëqyrjen dhe garantimin e të drejtës për akses në informacion publik, duke u mbështetur në vendosjen e balancës dhe respektimin e parimit të proporcionalitetit.</w:t>
      </w:r>
    </w:p>
    <w:p w:rsidR="006560A0" w:rsidRPr="008C1D0F" w:rsidRDefault="006560A0" w:rsidP="006560A0">
      <w:pPr>
        <w:spacing w:after="160" w:line="276" w:lineRule="auto"/>
        <w:jc w:val="both"/>
      </w:pPr>
      <w:r w:rsidRPr="008C1D0F">
        <w:t>Ky</w:t>
      </w:r>
      <w:r w:rsidR="007F44D7" w:rsidRPr="008C1D0F">
        <w:t xml:space="preserve"> </w:t>
      </w:r>
      <w:r w:rsidRPr="008C1D0F">
        <w:t>është</w:t>
      </w:r>
      <w:r w:rsidR="007F44D7" w:rsidRPr="008C1D0F">
        <w:t xml:space="preserve"> </w:t>
      </w:r>
      <w:r w:rsidRPr="008C1D0F">
        <w:t>një</w:t>
      </w:r>
      <w:r w:rsidR="007F44D7" w:rsidRPr="008C1D0F">
        <w:t xml:space="preserve"> </w:t>
      </w:r>
      <w:r w:rsidRPr="008C1D0F">
        <w:t>tregues</w:t>
      </w:r>
      <w:r w:rsidR="007F44D7" w:rsidRPr="008C1D0F">
        <w:t xml:space="preserve"> </w:t>
      </w:r>
      <w:r w:rsidRPr="008C1D0F">
        <w:t>cilësor</w:t>
      </w:r>
      <w:r w:rsidR="007F44D7" w:rsidRPr="008C1D0F">
        <w:t xml:space="preserve"> </w:t>
      </w:r>
      <w:r w:rsidRPr="008C1D0F">
        <w:t>i</w:t>
      </w:r>
      <w:r w:rsidR="007F44D7" w:rsidRPr="008C1D0F">
        <w:t xml:space="preserve"> </w:t>
      </w:r>
      <w:r w:rsidRPr="008C1D0F">
        <w:t>veprimtarisë</w:t>
      </w:r>
      <w:r w:rsidR="007F44D7" w:rsidRPr="008C1D0F">
        <w:t xml:space="preserve"> </w:t>
      </w:r>
      <w:r w:rsidRPr="008C1D0F">
        <w:t>së</w:t>
      </w:r>
      <w:r w:rsidR="007F44D7" w:rsidRPr="008C1D0F">
        <w:t xml:space="preserve"> </w:t>
      </w:r>
      <w:r w:rsidRPr="008C1D0F">
        <w:t>Zyrës</w:t>
      </w:r>
      <w:r w:rsidR="007F44D7" w:rsidRPr="008C1D0F">
        <w:t xml:space="preserve"> </w:t>
      </w:r>
      <w:r w:rsidRPr="008C1D0F">
        <w:t>së</w:t>
      </w:r>
      <w:r w:rsidR="007F44D7" w:rsidRPr="008C1D0F">
        <w:t xml:space="preserve"> </w:t>
      </w:r>
      <w:r w:rsidRPr="008C1D0F">
        <w:t>Komisionerit, ku</w:t>
      </w:r>
      <w:r w:rsidR="007F44D7" w:rsidRPr="008C1D0F">
        <w:t xml:space="preserve"> </w:t>
      </w:r>
      <w:r w:rsidRPr="008C1D0F">
        <w:t>qytetari</w:t>
      </w:r>
      <w:r w:rsidR="007F44D7" w:rsidRPr="008C1D0F">
        <w:t xml:space="preserve"> </w:t>
      </w:r>
      <w:r w:rsidRPr="008C1D0F">
        <w:t>merr</w:t>
      </w:r>
      <w:r w:rsidR="007F44D7" w:rsidRPr="008C1D0F">
        <w:t xml:space="preserve"> </w:t>
      </w:r>
      <w:r w:rsidRPr="008C1D0F">
        <w:t>atë</w:t>
      </w:r>
      <w:r w:rsidR="007F44D7" w:rsidRPr="008C1D0F">
        <w:t xml:space="preserve"> </w:t>
      </w:r>
      <w:r w:rsidRPr="008C1D0F">
        <w:t>çfarë</w:t>
      </w:r>
      <w:r w:rsidR="007F44D7" w:rsidRPr="008C1D0F">
        <w:t xml:space="preserve"> </w:t>
      </w:r>
      <w:r w:rsidRPr="008C1D0F">
        <w:t>kërkon</w:t>
      </w:r>
      <w:r w:rsidR="007F44D7" w:rsidRPr="008C1D0F">
        <w:t xml:space="preserve"> </w:t>
      </w:r>
      <w:r w:rsidRPr="008C1D0F">
        <w:t>dhe</w:t>
      </w:r>
      <w:r w:rsidR="007F44D7" w:rsidRPr="008C1D0F">
        <w:t xml:space="preserve"> </w:t>
      </w:r>
      <w:r w:rsidRPr="008C1D0F">
        <w:t>i</w:t>
      </w:r>
      <w:r w:rsidR="007F44D7" w:rsidRPr="008C1D0F">
        <w:t xml:space="preserve"> </w:t>
      </w:r>
      <w:r w:rsidRPr="008C1D0F">
        <w:t xml:space="preserve">nevojitet. </w:t>
      </w:r>
    </w:p>
    <w:p w:rsidR="006560A0" w:rsidRPr="008C1D0F" w:rsidRDefault="00BB2EF3" w:rsidP="006560A0">
      <w:pPr>
        <w:spacing w:line="276" w:lineRule="auto"/>
        <w:jc w:val="both"/>
        <w:rPr>
          <w:color w:val="0D0D0D" w:themeColor="text1" w:themeTint="F2"/>
        </w:rPr>
      </w:pPr>
      <w:r w:rsidRPr="008C1D0F">
        <w:rPr>
          <w:b/>
          <w:color w:val="0D0D0D" w:themeColor="text1" w:themeTint="F2"/>
        </w:rPr>
        <w:t>Në tërësi Nënprodukti A:</w:t>
      </w:r>
      <w:r w:rsidR="006C7603" w:rsidRPr="008C1D0F">
        <w:rPr>
          <w:b/>
          <w:color w:val="0D0D0D" w:themeColor="text1" w:themeTint="F2"/>
        </w:rPr>
        <w:t xml:space="preserve"> 715</w:t>
      </w:r>
      <w:r w:rsidR="006560A0" w:rsidRPr="008C1D0F">
        <w:rPr>
          <w:b/>
          <w:color w:val="0D0D0D" w:themeColor="text1" w:themeTint="F2"/>
        </w:rPr>
        <w:t xml:space="preserve">+ </w:t>
      </w:r>
      <w:r w:rsidR="00DB25EB" w:rsidRPr="008C1D0F">
        <w:rPr>
          <w:b/>
          <w:color w:val="0D0D0D" w:themeColor="text1" w:themeTint="F2"/>
        </w:rPr>
        <w:t>50</w:t>
      </w:r>
      <w:r w:rsidR="006560A0" w:rsidRPr="008C1D0F">
        <w:rPr>
          <w:b/>
          <w:color w:val="0D0D0D" w:themeColor="text1" w:themeTint="F2"/>
        </w:rPr>
        <w:t xml:space="preserve"> (ankesa+ inspektime) </w:t>
      </w:r>
      <w:r w:rsidR="006560A0" w:rsidRPr="008C1D0F">
        <w:rPr>
          <w:color w:val="0D0D0D" w:themeColor="text1" w:themeTint="F2"/>
        </w:rPr>
        <w:t xml:space="preserve">realizuar </w:t>
      </w:r>
      <w:r w:rsidR="00CE26A1" w:rsidRPr="008C1D0F">
        <w:rPr>
          <w:color w:val="0D0D0D" w:themeColor="text1" w:themeTint="F2"/>
        </w:rPr>
        <w:t xml:space="preserve">mbi </w:t>
      </w:r>
      <w:r w:rsidR="006C7603" w:rsidRPr="008C1D0F">
        <w:rPr>
          <w:color w:val="0D0D0D" w:themeColor="text1" w:themeTint="F2"/>
        </w:rPr>
        <w:t>100</w:t>
      </w:r>
      <w:r w:rsidR="006560A0" w:rsidRPr="008C1D0F">
        <w:rPr>
          <w:color w:val="0D0D0D" w:themeColor="text1" w:themeTint="F2"/>
        </w:rPr>
        <w:t>%</w:t>
      </w:r>
      <w:r w:rsidR="007F44D7" w:rsidRPr="008C1D0F">
        <w:rPr>
          <w:color w:val="0D0D0D" w:themeColor="text1" w:themeTint="F2"/>
        </w:rPr>
        <w:t xml:space="preserve"> </w:t>
      </w:r>
      <w:r w:rsidR="006560A0" w:rsidRPr="008C1D0F">
        <w:rPr>
          <w:color w:val="0D0D0D" w:themeColor="text1" w:themeTint="F2"/>
        </w:rPr>
        <w:t>të pritshmërisë</w:t>
      </w:r>
      <w:r w:rsidR="00CE26A1" w:rsidRPr="008C1D0F">
        <w:rPr>
          <w:color w:val="0D0D0D" w:themeColor="text1" w:themeTint="F2"/>
        </w:rPr>
        <w:t xml:space="preserve"> (së rishikuar) </w:t>
      </w:r>
      <w:r w:rsidR="006560A0" w:rsidRPr="008C1D0F">
        <w:rPr>
          <w:color w:val="0D0D0D" w:themeColor="text1" w:themeTint="F2"/>
        </w:rPr>
        <w:t xml:space="preserve">. </w:t>
      </w:r>
    </w:p>
    <w:p w:rsidR="006560A0" w:rsidRPr="008C1D0F" w:rsidRDefault="006560A0" w:rsidP="006560A0">
      <w:pPr>
        <w:spacing w:line="276" w:lineRule="auto"/>
        <w:jc w:val="both"/>
        <w:rPr>
          <w:color w:val="FF0000"/>
        </w:rPr>
      </w:pPr>
    </w:p>
    <w:p w:rsidR="006560A0" w:rsidRPr="008C1D0F" w:rsidRDefault="00C66D70" w:rsidP="00A80E76">
      <w:pPr>
        <w:spacing w:line="276" w:lineRule="auto"/>
        <w:jc w:val="both"/>
        <w:rPr>
          <w:b/>
          <w:color w:val="0D0D0D" w:themeColor="text1" w:themeTint="F2"/>
        </w:rPr>
      </w:pPr>
      <w:r>
        <w:rPr>
          <w:rFonts w:eastAsia="Batang"/>
          <w:b/>
          <w:color w:val="0D0D0D" w:themeColor="text1" w:themeTint="F2"/>
        </w:rPr>
        <w:t>Nënprodukti B-</w:t>
      </w:r>
      <w:r w:rsidR="006560A0" w:rsidRPr="008C1D0F">
        <w:rPr>
          <w:b/>
          <w:color w:val="0D0D0D" w:themeColor="text1" w:themeTint="F2"/>
        </w:rPr>
        <w:t>Monitorim i Autoriteteve Publike me programe dhe transparencë të plotë (</w:t>
      </w:r>
      <w:r w:rsidR="00817046" w:rsidRPr="008C1D0F">
        <w:rPr>
          <w:b/>
          <w:color w:val="0D0D0D" w:themeColor="text1" w:themeTint="F2"/>
        </w:rPr>
        <w:t>300</w:t>
      </w:r>
      <w:r w:rsidR="006560A0" w:rsidRPr="008C1D0F">
        <w:rPr>
          <w:b/>
          <w:color w:val="0D0D0D" w:themeColor="text1" w:themeTint="F2"/>
        </w:rPr>
        <w:t>+-monitorime)</w:t>
      </w:r>
      <w:r w:rsidR="00A80E76" w:rsidRPr="008C1D0F">
        <w:rPr>
          <w:b/>
          <w:color w:val="0D0D0D" w:themeColor="text1" w:themeTint="F2"/>
        </w:rPr>
        <w:t xml:space="preserve"> , i ndryshuar.</w:t>
      </w:r>
    </w:p>
    <w:p w:rsidR="00A80E76" w:rsidRPr="008C1D0F" w:rsidRDefault="00A80E76" w:rsidP="00A80E76">
      <w:pPr>
        <w:spacing w:line="276" w:lineRule="auto"/>
        <w:jc w:val="both"/>
        <w:rPr>
          <w:b/>
          <w:color w:val="0D0D0D" w:themeColor="text1" w:themeTint="F2"/>
        </w:rPr>
      </w:pPr>
    </w:p>
    <w:p w:rsidR="006560A0" w:rsidRPr="008C1D0F" w:rsidRDefault="006560A0" w:rsidP="006560A0">
      <w:pPr>
        <w:tabs>
          <w:tab w:val="left" w:pos="960"/>
        </w:tabs>
        <w:spacing w:after="240" w:line="276" w:lineRule="auto"/>
        <w:jc w:val="both"/>
        <w:rPr>
          <w:rFonts w:eastAsia="Calibri"/>
        </w:rPr>
      </w:pPr>
      <w:r w:rsidRPr="008C1D0F">
        <w:rPr>
          <w:rFonts w:eastAsia="Calibri"/>
        </w:rPr>
        <w:t xml:space="preserve">Gjatë vitit 2019, Zyra e Komisionerit ka përditësuar listën e autoriteteve publike, e cila </w:t>
      </w:r>
      <w:r w:rsidR="00CE26A1" w:rsidRPr="008C1D0F">
        <w:rPr>
          <w:rFonts w:eastAsia="Calibri"/>
        </w:rPr>
        <w:t xml:space="preserve">pas </w:t>
      </w:r>
      <w:r w:rsidRPr="008C1D0F">
        <w:rPr>
          <w:rFonts w:eastAsia="Calibri"/>
        </w:rPr>
        <w:t xml:space="preserve"> ndryshime</w:t>
      </w:r>
      <w:r w:rsidR="00C67E33" w:rsidRPr="008C1D0F">
        <w:rPr>
          <w:rFonts w:eastAsia="Calibri"/>
        </w:rPr>
        <w:t xml:space="preserve">ve, </w:t>
      </w:r>
      <w:r w:rsidRPr="008C1D0F">
        <w:rPr>
          <w:rFonts w:eastAsia="Calibri"/>
        </w:rPr>
        <w:t>për shkak të reformës së riorganizimit strukturor</w:t>
      </w:r>
      <w:r w:rsidR="007F44D7" w:rsidRPr="008C1D0F">
        <w:rPr>
          <w:rFonts w:eastAsia="Calibri"/>
        </w:rPr>
        <w:t xml:space="preserve"> </w:t>
      </w:r>
      <w:r w:rsidRPr="008C1D0F">
        <w:rPr>
          <w:rFonts w:eastAsia="Calibri"/>
        </w:rPr>
        <w:t>të organeve dhe institucioneve të administratës shtetërore. Nga monitorimi i kryer në fund të vitit 2019, rezultojnë 417</w:t>
      </w:r>
      <w:r w:rsidR="007F44D7" w:rsidRPr="008C1D0F">
        <w:rPr>
          <w:rFonts w:eastAsia="Calibri"/>
        </w:rPr>
        <w:t xml:space="preserve"> </w:t>
      </w:r>
      <w:r w:rsidRPr="008C1D0F">
        <w:rPr>
          <w:rFonts w:eastAsia="Calibri"/>
        </w:rPr>
        <w:t>autoritete publike</w:t>
      </w:r>
      <w:r w:rsidR="00C67E33" w:rsidRPr="008C1D0F">
        <w:rPr>
          <w:rFonts w:eastAsia="Calibri"/>
        </w:rPr>
        <w:t>.</w:t>
      </w:r>
    </w:p>
    <w:p w:rsidR="00790091" w:rsidRPr="008C1D0F" w:rsidRDefault="00BB2EF3" w:rsidP="006560A0">
      <w:pPr>
        <w:tabs>
          <w:tab w:val="left" w:pos="960"/>
        </w:tabs>
        <w:spacing w:after="240" w:line="276" w:lineRule="auto"/>
        <w:jc w:val="both"/>
        <w:rPr>
          <w:rFonts w:eastAsia="Calibri"/>
        </w:rPr>
      </w:pPr>
      <w:proofErr w:type="spellStart"/>
      <w:r w:rsidRPr="008C1D0F">
        <w:rPr>
          <w:lang w:val="en-CA"/>
        </w:rPr>
        <w:t>Për</w:t>
      </w:r>
      <w:proofErr w:type="spellEnd"/>
      <w:r w:rsidRPr="008C1D0F">
        <w:rPr>
          <w:lang w:val="en-CA"/>
        </w:rPr>
        <w:t xml:space="preserve"> </w:t>
      </w:r>
      <w:proofErr w:type="spellStart"/>
      <w:r w:rsidR="00C67E33" w:rsidRPr="008C1D0F">
        <w:rPr>
          <w:lang w:val="en-CA"/>
        </w:rPr>
        <w:t>vitin</w:t>
      </w:r>
      <w:proofErr w:type="spellEnd"/>
      <w:r w:rsidR="00C67E33" w:rsidRPr="008C1D0F">
        <w:rPr>
          <w:lang w:val="en-CA"/>
        </w:rPr>
        <w:t xml:space="preserve"> </w:t>
      </w:r>
      <w:r w:rsidR="00790091" w:rsidRPr="008C1D0F">
        <w:rPr>
          <w:lang w:val="en-CA"/>
        </w:rPr>
        <w:t xml:space="preserve">2020, </w:t>
      </w:r>
      <w:proofErr w:type="spellStart"/>
      <w:r w:rsidR="00790091" w:rsidRPr="008C1D0F">
        <w:rPr>
          <w:lang w:val="en-CA"/>
        </w:rPr>
        <w:t>Zyra</w:t>
      </w:r>
      <w:proofErr w:type="spellEnd"/>
      <w:r w:rsidR="00790091" w:rsidRPr="008C1D0F">
        <w:rPr>
          <w:lang w:val="en-CA"/>
        </w:rPr>
        <w:t xml:space="preserve"> e </w:t>
      </w:r>
      <w:proofErr w:type="spellStart"/>
      <w:r w:rsidR="00790091" w:rsidRPr="008C1D0F">
        <w:rPr>
          <w:lang w:val="en-CA"/>
        </w:rPr>
        <w:t>Komisionerit</w:t>
      </w:r>
      <w:proofErr w:type="spellEnd"/>
      <w:r w:rsidR="00790091" w:rsidRPr="008C1D0F">
        <w:rPr>
          <w:lang w:val="en-CA"/>
        </w:rPr>
        <w:t xml:space="preserve">, </w:t>
      </w:r>
      <w:r w:rsidR="00790091" w:rsidRPr="008C1D0F">
        <w:rPr>
          <w:b/>
        </w:rPr>
        <w:t xml:space="preserve">ka monitoruar </w:t>
      </w:r>
      <w:r w:rsidR="00790091" w:rsidRPr="008C1D0F">
        <w:rPr>
          <w:b/>
          <w:i/>
          <w:iCs/>
        </w:rPr>
        <w:t xml:space="preserve">online </w:t>
      </w:r>
      <w:r w:rsidR="00C66D70">
        <w:rPr>
          <w:b/>
        </w:rPr>
        <w:t>të gjitha</w:t>
      </w:r>
      <w:r w:rsidR="00790091" w:rsidRPr="008C1D0F">
        <w:t xml:space="preserve"> autoritete</w:t>
      </w:r>
      <w:r w:rsidR="00C67E33" w:rsidRPr="008C1D0F">
        <w:t>t</w:t>
      </w:r>
      <w:r w:rsidR="00790091" w:rsidRPr="008C1D0F">
        <w:t xml:space="preserve"> publike (419 Auto</w:t>
      </w:r>
      <w:r w:rsidR="00C66D70">
        <w:t>r</w:t>
      </w:r>
      <w:r w:rsidR="00790091" w:rsidRPr="008C1D0F">
        <w:t>itete Publike në total) në lidhje me:</w:t>
      </w:r>
    </w:p>
    <w:p w:rsidR="00790091" w:rsidRPr="008C1D0F" w:rsidRDefault="00790091" w:rsidP="0082582B">
      <w:pPr>
        <w:pStyle w:val="ListParagraph"/>
        <w:numPr>
          <w:ilvl w:val="0"/>
          <w:numId w:val="20"/>
        </w:numPr>
        <w:spacing w:after="0"/>
        <w:jc w:val="both"/>
        <w:rPr>
          <w:rFonts w:ascii="Times New Roman" w:hAnsi="Times New Roman"/>
          <w:sz w:val="24"/>
          <w:szCs w:val="24"/>
        </w:rPr>
      </w:pPr>
      <w:r w:rsidRPr="008C1D0F">
        <w:rPr>
          <w:rFonts w:ascii="Times New Roman" w:hAnsi="Times New Roman"/>
          <w:sz w:val="24"/>
          <w:szCs w:val="24"/>
        </w:rPr>
        <w:t>publikimin e programit të transparencës;</w:t>
      </w:r>
    </w:p>
    <w:p w:rsidR="00790091" w:rsidRPr="008C1D0F" w:rsidRDefault="00790091" w:rsidP="0082582B">
      <w:pPr>
        <w:pStyle w:val="ListParagraph"/>
        <w:numPr>
          <w:ilvl w:val="0"/>
          <w:numId w:val="20"/>
        </w:numPr>
        <w:spacing w:after="0"/>
        <w:jc w:val="both"/>
        <w:rPr>
          <w:rFonts w:ascii="Times New Roman" w:hAnsi="Times New Roman"/>
          <w:sz w:val="24"/>
          <w:szCs w:val="24"/>
        </w:rPr>
      </w:pPr>
      <w:r w:rsidRPr="008C1D0F">
        <w:rPr>
          <w:rFonts w:ascii="Times New Roman" w:hAnsi="Times New Roman"/>
          <w:sz w:val="24"/>
          <w:szCs w:val="24"/>
        </w:rPr>
        <w:t>koordinatorin e së drejtës për informim;</w:t>
      </w:r>
    </w:p>
    <w:p w:rsidR="00790091" w:rsidRPr="00F05DE6" w:rsidRDefault="00790091" w:rsidP="00790091">
      <w:pPr>
        <w:pStyle w:val="ListParagraph"/>
        <w:numPr>
          <w:ilvl w:val="0"/>
          <w:numId w:val="20"/>
        </w:numPr>
        <w:spacing w:after="0"/>
        <w:jc w:val="both"/>
        <w:rPr>
          <w:rFonts w:ascii="Times New Roman" w:hAnsi="Times New Roman"/>
          <w:sz w:val="24"/>
          <w:szCs w:val="24"/>
        </w:rPr>
      </w:pPr>
      <w:r w:rsidRPr="008C1D0F">
        <w:rPr>
          <w:rFonts w:ascii="Times New Roman" w:hAnsi="Times New Roman"/>
          <w:sz w:val="24"/>
          <w:szCs w:val="24"/>
        </w:rPr>
        <w:t xml:space="preserve">regjistrin e kërkesave dhe përgjigjeve. </w:t>
      </w:r>
    </w:p>
    <w:p w:rsidR="00C67E33" w:rsidRPr="008C1D0F" w:rsidRDefault="006C7603" w:rsidP="006C7603">
      <w:pPr>
        <w:spacing w:line="276" w:lineRule="auto"/>
        <w:jc w:val="both"/>
        <w:rPr>
          <w:i/>
          <w:color w:val="0D0D0D" w:themeColor="text1" w:themeTint="F2"/>
        </w:rPr>
      </w:pPr>
      <w:r w:rsidRPr="008C1D0F">
        <w:rPr>
          <w:i/>
          <w:color w:val="0D0D0D" w:themeColor="text1" w:themeTint="F2"/>
        </w:rPr>
        <w:t>Nga monitorimi i autoriteteve publike ka rezultuar se:</w:t>
      </w:r>
    </w:p>
    <w:p w:rsidR="006C7603" w:rsidRPr="008C1D0F" w:rsidRDefault="006C7603" w:rsidP="006C7603">
      <w:pPr>
        <w:spacing w:line="276" w:lineRule="auto"/>
        <w:jc w:val="both"/>
        <w:rPr>
          <w:color w:val="0D0D0D" w:themeColor="text1" w:themeTint="F2"/>
        </w:rPr>
      </w:pPr>
      <w:r w:rsidRPr="008C1D0F">
        <w:rPr>
          <w:color w:val="0D0D0D" w:themeColor="text1" w:themeTint="F2"/>
        </w:rPr>
        <w:t>239 Autoritete Publike kanë bërë publik Programin e Transparencës;</w:t>
      </w:r>
    </w:p>
    <w:p w:rsidR="006C7603" w:rsidRPr="008C1D0F" w:rsidRDefault="006C7603" w:rsidP="006C7603">
      <w:pPr>
        <w:spacing w:line="276" w:lineRule="auto"/>
        <w:jc w:val="both"/>
        <w:rPr>
          <w:color w:val="0D0D0D" w:themeColor="text1" w:themeTint="F2"/>
        </w:rPr>
      </w:pPr>
      <w:r w:rsidRPr="008C1D0F">
        <w:rPr>
          <w:color w:val="0D0D0D" w:themeColor="text1" w:themeTint="F2"/>
        </w:rPr>
        <w:t>137 Autoritete Publike kanë publikuar Regjistrin e kërkesave dhe përgjigjeve;</w:t>
      </w:r>
    </w:p>
    <w:p w:rsidR="006C7603" w:rsidRPr="008C1D0F" w:rsidRDefault="006C7603" w:rsidP="006C7603">
      <w:pPr>
        <w:spacing w:line="276" w:lineRule="auto"/>
        <w:jc w:val="both"/>
        <w:rPr>
          <w:color w:val="0D0D0D" w:themeColor="text1" w:themeTint="F2"/>
        </w:rPr>
      </w:pPr>
      <w:r w:rsidRPr="008C1D0F">
        <w:rPr>
          <w:color w:val="0D0D0D" w:themeColor="text1" w:themeTint="F2"/>
        </w:rPr>
        <w:t>236 Autoritete Publike kanë caktuar Koordinator për të drejtën e informimit.</w:t>
      </w:r>
    </w:p>
    <w:p w:rsidR="006C7603" w:rsidRPr="008C1D0F" w:rsidRDefault="006C7603" w:rsidP="006C7603">
      <w:pPr>
        <w:spacing w:line="276" w:lineRule="auto"/>
        <w:jc w:val="both"/>
        <w:rPr>
          <w:color w:val="0D0D0D" w:themeColor="text1" w:themeTint="F2"/>
        </w:rPr>
      </w:pPr>
    </w:p>
    <w:p w:rsidR="006C7603" w:rsidRPr="008C1D0F" w:rsidRDefault="006C7603" w:rsidP="006C7603">
      <w:pPr>
        <w:pStyle w:val="Heading4"/>
        <w:shd w:val="clear" w:color="auto" w:fill="FFFFFF"/>
        <w:spacing w:before="0" w:line="276" w:lineRule="auto"/>
        <w:jc w:val="both"/>
        <w:textAlignment w:val="baseline"/>
        <w:rPr>
          <w:rFonts w:ascii="Times New Roman" w:hAnsi="Times New Roman" w:cs="Times New Roman"/>
          <w:bCs/>
          <w:i w:val="0"/>
          <w:color w:val="0D0D0D" w:themeColor="text1" w:themeTint="F2"/>
          <w:sz w:val="24"/>
          <w:szCs w:val="24"/>
        </w:rPr>
      </w:pPr>
      <w:r w:rsidRPr="008C1D0F">
        <w:rPr>
          <w:rFonts w:ascii="Times New Roman" w:eastAsia="Calibri" w:hAnsi="Times New Roman" w:cs="Times New Roman"/>
          <w:i w:val="0"/>
          <w:color w:val="0D0D0D" w:themeColor="text1" w:themeTint="F2"/>
          <w:sz w:val="24"/>
          <w:szCs w:val="24"/>
        </w:rPr>
        <w:t xml:space="preserve">Në vijim, </w:t>
      </w:r>
      <w:r w:rsidR="00A37590" w:rsidRPr="008C1D0F">
        <w:rPr>
          <w:rFonts w:ascii="Times New Roman" w:eastAsia="Calibri" w:hAnsi="Times New Roman" w:cs="Times New Roman"/>
          <w:i w:val="0"/>
          <w:color w:val="0D0D0D" w:themeColor="text1" w:themeTint="F2"/>
          <w:sz w:val="24"/>
          <w:szCs w:val="24"/>
        </w:rPr>
        <w:t xml:space="preserve">Zyra e Komisionerit </w:t>
      </w:r>
      <w:r w:rsidRPr="008C1D0F">
        <w:rPr>
          <w:rFonts w:ascii="Times New Roman" w:eastAsia="Calibri" w:hAnsi="Times New Roman" w:cs="Times New Roman"/>
          <w:i w:val="0"/>
          <w:color w:val="0D0D0D" w:themeColor="text1" w:themeTint="F2"/>
          <w:sz w:val="24"/>
          <w:szCs w:val="24"/>
        </w:rPr>
        <w:t xml:space="preserve"> ka miratuar 22 rekomandime për ato autoritete publike të cilat, pas monitorimit online, kanë rezultuar se </w:t>
      </w:r>
      <w:r w:rsidRPr="008C1D0F">
        <w:rPr>
          <w:rFonts w:ascii="Times New Roman" w:hAnsi="Times New Roman" w:cs="Times New Roman"/>
          <w:bCs/>
          <w:i w:val="0"/>
          <w:color w:val="0D0D0D" w:themeColor="text1" w:themeTint="F2"/>
          <w:sz w:val="24"/>
          <w:szCs w:val="24"/>
        </w:rPr>
        <w:t>kanë pasur mangësi në publikimin e informacionit të detyrueshëm të parashikuar në</w:t>
      </w:r>
      <w:r w:rsidRPr="008C1D0F">
        <w:rPr>
          <w:rFonts w:ascii="Times New Roman" w:eastAsia="Calibri" w:hAnsi="Times New Roman" w:cs="Times New Roman"/>
          <w:i w:val="0"/>
          <w:color w:val="0D0D0D" w:themeColor="text1" w:themeTint="F2"/>
          <w:sz w:val="24"/>
          <w:szCs w:val="24"/>
        </w:rPr>
        <w:t xml:space="preserve"> </w:t>
      </w:r>
      <w:hyperlink r:id="rId10" w:tgtFrame="_blank" w:history="1">
        <w:r w:rsidRPr="008C1D0F">
          <w:rPr>
            <w:rStyle w:val="Hyperlink"/>
            <w:rFonts w:ascii="Times New Roman" w:hAnsi="Times New Roman" w:cs="Times New Roman"/>
            <w:i w:val="0"/>
            <w:color w:val="0D0D0D" w:themeColor="text1" w:themeTint="F2"/>
            <w:sz w:val="24"/>
            <w:szCs w:val="24"/>
            <w:bdr w:val="none" w:sz="0" w:space="0" w:color="auto" w:frame="1"/>
          </w:rPr>
          <w:t>Urdhrin nr. 14, datë 22.01.2015 “Për miratimin e Programit model të Transparencës</w:t>
        </w:r>
      </w:hyperlink>
      <w:r w:rsidRPr="008C1D0F">
        <w:rPr>
          <w:rStyle w:val="Hyperlink"/>
          <w:rFonts w:ascii="Times New Roman" w:hAnsi="Times New Roman" w:cs="Times New Roman"/>
          <w:i w:val="0"/>
          <w:color w:val="0D0D0D" w:themeColor="text1" w:themeTint="F2"/>
          <w:sz w:val="24"/>
          <w:szCs w:val="24"/>
          <w:bdr w:val="none" w:sz="0" w:space="0" w:color="auto" w:frame="1"/>
        </w:rPr>
        <w:t>”</w:t>
      </w:r>
      <w:r w:rsidRPr="008C1D0F">
        <w:rPr>
          <w:rFonts w:ascii="Times New Roman" w:hAnsi="Times New Roman" w:cs="Times New Roman"/>
          <w:bCs/>
          <w:i w:val="0"/>
          <w:color w:val="0D0D0D" w:themeColor="text1" w:themeTint="F2"/>
          <w:sz w:val="24"/>
          <w:szCs w:val="24"/>
        </w:rPr>
        <w:t xml:space="preserve"> dhe </w:t>
      </w:r>
      <w:r w:rsidRPr="008C1D0F">
        <w:rPr>
          <w:rFonts w:ascii="Times New Roman" w:eastAsia="Calibri" w:hAnsi="Times New Roman" w:cs="Times New Roman"/>
          <w:i w:val="0"/>
          <w:color w:val="0D0D0D" w:themeColor="text1" w:themeTint="F2"/>
          <w:sz w:val="24"/>
          <w:szCs w:val="24"/>
        </w:rPr>
        <w:t>Urdhrin nr. 211, datë 10.09.2018 “</w:t>
      </w:r>
      <w:r w:rsidRPr="008C1D0F">
        <w:fldChar w:fldCharType="begin"/>
      </w:r>
      <w:r w:rsidRPr="008C1D0F">
        <w:rPr>
          <w:rFonts w:ascii="Times New Roman" w:hAnsi="Times New Roman" w:cs="Times New Roman"/>
          <w:sz w:val="24"/>
          <w:szCs w:val="24"/>
        </w:rPr>
        <w:instrText xml:space="preserve"> HYPERLINK "https://www.idp.al/wp-content/uploads/2018/09/Programi_Model_i_Transparences_per_njesit_e_vetqeverisjes_vendore.pdf" \t "_blank" </w:instrText>
      </w:r>
      <w:r w:rsidRPr="008C1D0F">
        <w:fldChar w:fldCharType="separate"/>
      </w:r>
      <w:r w:rsidRPr="008C1D0F">
        <w:rPr>
          <w:rStyle w:val="Hyperlink"/>
          <w:rFonts w:ascii="Times New Roman" w:hAnsi="Times New Roman" w:cs="Times New Roman"/>
          <w:i w:val="0"/>
          <w:color w:val="0D0D0D" w:themeColor="text1" w:themeTint="F2"/>
          <w:sz w:val="24"/>
          <w:szCs w:val="24"/>
          <w:bdr w:val="none" w:sz="0" w:space="0" w:color="auto" w:frame="1"/>
        </w:rPr>
        <w:t>Programi model i Transparencës për Njësitë e Vetëqeverisjes Vendore</w:t>
      </w:r>
      <w:r w:rsidRPr="008C1D0F">
        <w:rPr>
          <w:rStyle w:val="Hyperlink"/>
          <w:rFonts w:ascii="Times New Roman" w:hAnsi="Times New Roman" w:cs="Times New Roman"/>
          <w:bCs/>
          <w:i w:val="0"/>
          <w:color w:val="0D0D0D" w:themeColor="text1" w:themeTint="F2"/>
          <w:sz w:val="24"/>
          <w:szCs w:val="24"/>
          <w:u w:val="none"/>
          <w:bdr w:val="none" w:sz="0" w:space="0" w:color="auto" w:frame="1"/>
        </w:rPr>
        <w:fldChar w:fldCharType="end"/>
      </w:r>
      <w:r w:rsidRPr="008C1D0F">
        <w:rPr>
          <w:rFonts w:ascii="Times New Roman" w:hAnsi="Times New Roman" w:cs="Times New Roman"/>
          <w:bCs/>
          <w:i w:val="0"/>
          <w:color w:val="0D0D0D" w:themeColor="text1" w:themeTint="F2"/>
          <w:sz w:val="24"/>
          <w:szCs w:val="24"/>
        </w:rPr>
        <w:t xml:space="preserve">”.  </w:t>
      </w:r>
    </w:p>
    <w:p w:rsidR="006C7603" w:rsidRPr="008C1D0F" w:rsidRDefault="006C7603" w:rsidP="006C7603">
      <w:pPr>
        <w:spacing w:line="276" w:lineRule="auto"/>
        <w:jc w:val="both"/>
        <w:rPr>
          <w:color w:val="0D0D0D" w:themeColor="text1" w:themeTint="F2"/>
        </w:rPr>
      </w:pPr>
    </w:p>
    <w:p w:rsidR="006C7603" w:rsidRPr="008C1D0F" w:rsidRDefault="006C7603" w:rsidP="006C7603">
      <w:pPr>
        <w:spacing w:line="276" w:lineRule="auto"/>
        <w:jc w:val="both"/>
        <w:rPr>
          <w:color w:val="0D0D0D" w:themeColor="text1" w:themeTint="F2"/>
        </w:rPr>
      </w:pPr>
      <w:r w:rsidRPr="008C1D0F">
        <w:rPr>
          <w:color w:val="0D0D0D" w:themeColor="text1" w:themeTint="F2"/>
        </w:rPr>
        <w:t>Ligji për të drejtën e informimit, parashikon detyrimin e çdo autoriteti publik, për të vënë në zbatim programin institucional të transparencës. Megjithatë pavarësisht rregullimit të mësipërm, edhe për vitin 2020 konstatohet se vijon të këtë mospërmbushje nga ana e autoriteteve publike të këtij detyrimi. Shkak për këtë mospërmbushje janë një sërë faktorësh, si problematika lidhur me faqet zyrtare të internetit të autoriteteve publike dhe mungesa e kapaciteteve njërëzore për implementimin dhe përditësimin e programeve të transparencës.</w:t>
      </w:r>
    </w:p>
    <w:p w:rsidR="006560A0" w:rsidRPr="008C1D0F" w:rsidRDefault="006560A0" w:rsidP="006560A0">
      <w:pPr>
        <w:spacing w:line="276" w:lineRule="auto"/>
        <w:jc w:val="both"/>
        <w:rPr>
          <w:color w:val="FF0000"/>
        </w:rPr>
      </w:pPr>
    </w:p>
    <w:p w:rsidR="006560A0" w:rsidRPr="00803AB1" w:rsidRDefault="006560A0" w:rsidP="006560A0">
      <w:pPr>
        <w:spacing w:line="276" w:lineRule="auto"/>
        <w:jc w:val="both"/>
        <w:rPr>
          <w:color w:val="0D0D0D" w:themeColor="text1" w:themeTint="F2"/>
        </w:rPr>
      </w:pPr>
      <w:r w:rsidRPr="008C1D0F">
        <w:rPr>
          <w:b/>
          <w:color w:val="0D0D0D" w:themeColor="text1" w:themeTint="F2"/>
        </w:rPr>
        <w:t>Nënprodukti B:</w:t>
      </w:r>
      <w:r w:rsidR="006C7603" w:rsidRPr="008C1D0F">
        <w:rPr>
          <w:b/>
          <w:color w:val="0D0D0D" w:themeColor="text1" w:themeTint="F2"/>
        </w:rPr>
        <w:t xml:space="preserve"> </w:t>
      </w:r>
      <w:r w:rsidRPr="008C1D0F">
        <w:rPr>
          <w:b/>
          <w:color w:val="0D0D0D" w:themeColor="text1" w:themeTint="F2"/>
        </w:rPr>
        <w:t xml:space="preserve">Nga </w:t>
      </w:r>
      <w:r w:rsidR="00817046" w:rsidRPr="008C1D0F">
        <w:rPr>
          <w:b/>
          <w:color w:val="0D0D0D" w:themeColor="text1" w:themeTint="F2"/>
        </w:rPr>
        <w:t>300 (</w:t>
      </w:r>
      <w:r w:rsidR="002413A7" w:rsidRPr="008C1D0F">
        <w:rPr>
          <w:b/>
          <w:color w:val="0D0D0D" w:themeColor="text1" w:themeTint="F2"/>
        </w:rPr>
        <w:t xml:space="preserve">i ndryshuar) </w:t>
      </w:r>
      <w:r w:rsidRPr="008C1D0F">
        <w:rPr>
          <w:b/>
          <w:color w:val="0D0D0D" w:themeColor="text1" w:themeTint="F2"/>
        </w:rPr>
        <w:t>monitorime të</w:t>
      </w:r>
      <w:r w:rsidR="007F44D7" w:rsidRPr="008C1D0F">
        <w:rPr>
          <w:b/>
          <w:color w:val="0D0D0D" w:themeColor="text1" w:themeTint="F2"/>
        </w:rPr>
        <w:t xml:space="preserve"> </w:t>
      </w:r>
      <w:r w:rsidRPr="008C1D0F">
        <w:rPr>
          <w:b/>
          <w:color w:val="0D0D0D" w:themeColor="text1" w:themeTint="F2"/>
        </w:rPr>
        <w:t>AP,</w:t>
      </w:r>
      <w:r w:rsidR="007F44D7" w:rsidRPr="008C1D0F">
        <w:rPr>
          <w:b/>
          <w:color w:val="0D0D0D" w:themeColor="text1" w:themeTint="F2"/>
        </w:rPr>
        <w:t xml:space="preserve"> janë monitoruar </w:t>
      </w:r>
      <w:r w:rsidR="001A0934" w:rsidRPr="008C1D0F">
        <w:rPr>
          <w:b/>
          <w:color w:val="0D0D0D" w:themeColor="text1" w:themeTint="F2"/>
        </w:rPr>
        <w:t>të 419</w:t>
      </w:r>
      <w:r w:rsidR="007F44D7" w:rsidRPr="008C1D0F">
        <w:rPr>
          <w:b/>
          <w:color w:val="0D0D0D" w:themeColor="text1" w:themeTint="F2"/>
        </w:rPr>
        <w:t xml:space="preserve"> </w:t>
      </w:r>
      <w:r w:rsidRPr="008C1D0F">
        <w:rPr>
          <w:b/>
          <w:color w:val="0D0D0D" w:themeColor="text1" w:themeTint="F2"/>
        </w:rPr>
        <w:t>AP</w:t>
      </w:r>
      <w:r w:rsidR="007F44D7" w:rsidRPr="008C1D0F">
        <w:rPr>
          <w:b/>
          <w:color w:val="0D0D0D" w:themeColor="text1" w:themeTint="F2"/>
        </w:rPr>
        <w:t>.</w:t>
      </w:r>
      <w:r w:rsidRPr="008C1D0F">
        <w:rPr>
          <w:b/>
          <w:color w:val="0D0D0D" w:themeColor="text1" w:themeTint="F2"/>
        </w:rPr>
        <w:t xml:space="preserve"> </w:t>
      </w:r>
      <w:r w:rsidRPr="008C1D0F">
        <w:rPr>
          <w:color w:val="0D0D0D" w:themeColor="text1" w:themeTint="F2"/>
        </w:rPr>
        <w:t>Është një tregues, i cili është realizuar</w:t>
      </w:r>
      <w:r w:rsidR="007F44D7" w:rsidRPr="008C1D0F">
        <w:rPr>
          <w:color w:val="0D0D0D" w:themeColor="text1" w:themeTint="F2"/>
        </w:rPr>
        <w:t xml:space="preserve"> </w:t>
      </w:r>
      <w:r w:rsidR="00F05DE6">
        <w:rPr>
          <w:color w:val="0D0D0D" w:themeColor="text1" w:themeTint="F2"/>
        </w:rPr>
        <w:t xml:space="preserve">plotësisht </w:t>
      </w:r>
      <w:r w:rsidR="00793E8F" w:rsidRPr="008C1D0F">
        <w:rPr>
          <w:color w:val="0D0D0D" w:themeColor="text1" w:themeTint="F2"/>
        </w:rPr>
        <w:t xml:space="preserve">, krahasuar me pritshmëritë. </w:t>
      </w:r>
    </w:p>
    <w:p w:rsidR="006560A0" w:rsidRDefault="006560A0" w:rsidP="0082582B">
      <w:pPr>
        <w:pStyle w:val="ListParagraph"/>
        <w:numPr>
          <w:ilvl w:val="0"/>
          <w:numId w:val="4"/>
        </w:numPr>
        <w:jc w:val="both"/>
        <w:rPr>
          <w:rFonts w:ascii="Times New Roman" w:hAnsi="Times New Roman"/>
          <w:b/>
          <w:sz w:val="24"/>
          <w:szCs w:val="24"/>
        </w:rPr>
      </w:pPr>
      <w:r w:rsidRPr="008C1D0F">
        <w:rPr>
          <w:rFonts w:ascii="Times New Roman" w:hAnsi="Times New Roman"/>
          <w:b/>
          <w:sz w:val="24"/>
          <w:szCs w:val="24"/>
        </w:rPr>
        <w:t xml:space="preserve">Të tjera aktivitete në funksion të rritjes së transparencës </w:t>
      </w:r>
    </w:p>
    <w:p w:rsidR="00F05DE6" w:rsidRPr="008C1D0F" w:rsidRDefault="00F05DE6" w:rsidP="00F05DE6">
      <w:pPr>
        <w:pStyle w:val="ListParagraph"/>
        <w:jc w:val="both"/>
        <w:rPr>
          <w:rFonts w:ascii="Times New Roman" w:hAnsi="Times New Roman"/>
          <w:b/>
          <w:sz w:val="24"/>
          <w:szCs w:val="24"/>
        </w:rPr>
      </w:pPr>
    </w:p>
    <w:p w:rsidR="006C7603" w:rsidRPr="00C66D70" w:rsidRDefault="006560A0" w:rsidP="00490452">
      <w:pPr>
        <w:pStyle w:val="ListParagraph"/>
        <w:numPr>
          <w:ilvl w:val="0"/>
          <w:numId w:val="36"/>
        </w:numPr>
        <w:jc w:val="both"/>
        <w:rPr>
          <w:rFonts w:ascii="Times New Roman" w:hAnsi="Times New Roman"/>
          <w:b/>
          <w:sz w:val="24"/>
          <w:szCs w:val="24"/>
        </w:rPr>
      </w:pPr>
      <w:r w:rsidRPr="00C66D70">
        <w:rPr>
          <w:rFonts w:ascii="Times New Roman" w:hAnsi="Times New Roman"/>
          <w:b/>
          <w:sz w:val="24"/>
          <w:szCs w:val="24"/>
        </w:rPr>
        <w:t xml:space="preserve">Kërkesa nëpërmjet regjistrit </w:t>
      </w:r>
    </w:p>
    <w:p w:rsidR="00103D5B" w:rsidRPr="008C1D0F" w:rsidRDefault="00103D5B" w:rsidP="00C66D70">
      <w:pPr>
        <w:spacing w:line="276" w:lineRule="auto"/>
        <w:jc w:val="both"/>
        <w:rPr>
          <w:rFonts w:eastAsia="Calibri"/>
        </w:rPr>
      </w:pPr>
      <w:r w:rsidRPr="008C1D0F">
        <w:t>-</w:t>
      </w:r>
      <w:r w:rsidR="00C66D70">
        <w:t xml:space="preserve"> </w:t>
      </w:r>
      <w:r w:rsidRPr="008C1D0F">
        <w:t>G</w:t>
      </w:r>
      <w:r w:rsidR="00C66D70">
        <w:rPr>
          <w:rFonts w:eastAsia="Calibri"/>
        </w:rPr>
        <w:t>jatë periudhës janar–</w:t>
      </w:r>
      <w:r w:rsidRPr="008C1D0F">
        <w:rPr>
          <w:rFonts w:eastAsia="Calibri"/>
        </w:rPr>
        <w:t>dhjetor 2020 kanë instaluar regjistrin elektronik të kërkesave dhe përgjigjeve 28 autoritete të reja</w:t>
      </w:r>
      <w:r w:rsidR="00490452" w:rsidRPr="008C1D0F">
        <w:rPr>
          <w:rFonts w:eastAsia="Calibri"/>
        </w:rPr>
        <w:t>,</w:t>
      </w:r>
      <w:r w:rsidRPr="008C1D0F">
        <w:rPr>
          <w:rFonts w:eastAsia="Calibri"/>
        </w:rPr>
        <w:t xml:space="preserve"> duke e çuar në 59 numrin total të autoriteteve publike të cilat e kanë funksional këtë regjistër. </w:t>
      </w:r>
    </w:p>
    <w:p w:rsidR="00103D5B" w:rsidRPr="008C1D0F" w:rsidRDefault="00103D5B" w:rsidP="00C66D70">
      <w:pPr>
        <w:spacing w:line="276" w:lineRule="auto"/>
        <w:jc w:val="both"/>
        <w:rPr>
          <w:rFonts w:eastAsia="Calibri"/>
        </w:rPr>
      </w:pPr>
    </w:p>
    <w:p w:rsidR="00103D5B" w:rsidRPr="008C1D0F" w:rsidRDefault="00103D5B" w:rsidP="00C66D70">
      <w:pPr>
        <w:spacing w:line="276" w:lineRule="auto"/>
        <w:jc w:val="both"/>
        <w:rPr>
          <w:rFonts w:eastAsia="Calibri"/>
        </w:rPr>
      </w:pPr>
      <w:r w:rsidRPr="008C1D0F">
        <w:rPr>
          <w:rFonts w:eastAsia="Calibri"/>
        </w:rPr>
        <w:t>-Numri i kërkesave për informacion publik të trajtuara nëpërmjet sistemit elektronik të kërkesave dhe përgjigjeve</w:t>
      </w:r>
      <w:r w:rsidR="00490452" w:rsidRPr="008C1D0F">
        <w:rPr>
          <w:rFonts w:eastAsia="Calibri"/>
        </w:rPr>
        <w:t>,</w:t>
      </w:r>
      <w:r w:rsidRPr="008C1D0F">
        <w:rPr>
          <w:rFonts w:eastAsia="Calibri"/>
        </w:rPr>
        <w:t xml:space="preserve"> nga 59 Autoritete Publike</w:t>
      </w:r>
      <w:r w:rsidR="00490452" w:rsidRPr="008C1D0F">
        <w:rPr>
          <w:rFonts w:eastAsia="Calibri"/>
        </w:rPr>
        <w:t>,</w:t>
      </w:r>
      <w:r w:rsidRPr="008C1D0F">
        <w:rPr>
          <w:rFonts w:eastAsia="Calibri"/>
        </w:rPr>
        <w:t xml:space="preserve"> ku regjistri është instaluar tashmë, është 430. Për të njëjtën periudhë numri i ankesave drejtuar Zyrës së Komisionerit nëpërmjet këtij regjistri është 112 në total.</w:t>
      </w:r>
    </w:p>
    <w:p w:rsidR="00103D5B" w:rsidRPr="008C1D0F" w:rsidRDefault="00103D5B" w:rsidP="00103D5B">
      <w:pPr>
        <w:jc w:val="both"/>
      </w:pPr>
    </w:p>
    <w:p w:rsidR="006560A0" w:rsidRPr="00C66D70" w:rsidRDefault="006560A0" w:rsidP="00F05DE6">
      <w:pPr>
        <w:pStyle w:val="ListParagraph"/>
        <w:numPr>
          <w:ilvl w:val="0"/>
          <w:numId w:val="36"/>
        </w:numPr>
        <w:tabs>
          <w:tab w:val="left" w:pos="180"/>
          <w:tab w:val="left" w:pos="360"/>
          <w:tab w:val="left" w:pos="1170"/>
        </w:tabs>
        <w:jc w:val="both"/>
        <w:rPr>
          <w:rFonts w:ascii="Times New Roman" w:hAnsi="Times New Roman"/>
          <w:b/>
          <w:color w:val="0D0D0D"/>
          <w:sz w:val="24"/>
          <w:szCs w:val="24"/>
        </w:rPr>
      </w:pPr>
      <w:r w:rsidRPr="00C66D70">
        <w:rPr>
          <w:rFonts w:ascii="Times New Roman" w:hAnsi="Times New Roman"/>
          <w:b/>
          <w:color w:val="0D0D0D"/>
          <w:sz w:val="24"/>
          <w:szCs w:val="24"/>
        </w:rPr>
        <w:t xml:space="preserve">Aktivitete të tjera mbështetëse. </w:t>
      </w:r>
    </w:p>
    <w:p w:rsidR="006560A0" w:rsidRPr="008C1D0F" w:rsidRDefault="006560A0" w:rsidP="008E2513">
      <w:pPr>
        <w:spacing w:before="240" w:after="120" w:line="276" w:lineRule="auto"/>
        <w:jc w:val="both"/>
        <w:rPr>
          <w:rFonts w:eastAsia="Calibri"/>
        </w:rPr>
      </w:pPr>
      <w:r w:rsidRPr="008C1D0F">
        <w:rPr>
          <w:rFonts w:eastAsia="Calibri"/>
        </w:rPr>
        <w:t>Zyra e Komisionerit, si një institucion i cili ka në fokus nxitjen e transparencës dhe llogaridhënien e autoriteteve publike është pjesë e:</w:t>
      </w:r>
    </w:p>
    <w:p w:rsidR="006560A0" w:rsidRPr="008C1D0F" w:rsidRDefault="006560A0" w:rsidP="008E2513">
      <w:pPr>
        <w:pStyle w:val="ListParagraph"/>
        <w:numPr>
          <w:ilvl w:val="0"/>
          <w:numId w:val="9"/>
        </w:numPr>
        <w:spacing w:after="120"/>
        <w:contextualSpacing w:val="0"/>
        <w:jc w:val="both"/>
        <w:rPr>
          <w:rFonts w:ascii="Times New Roman" w:hAnsi="Times New Roman"/>
          <w:sz w:val="24"/>
          <w:szCs w:val="24"/>
        </w:rPr>
      </w:pPr>
      <w:r w:rsidRPr="008C1D0F">
        <w:rPr>
          <w:rFonts w:ascii="Times New Roman" w:hAnsi="Times New Roman"/>
          <w:sz w:val="24"/>
          <w:szCs w:val="24"/>
        </w:rPr>
        <w:t xml:space="preserve">Strategjisë Ndërsektoriale për Reformën në Administratën Publike 2015-2020 (SNRAP); </w:t>
      </w:r>
    </w:p>
    <w:p w:rsidR="006560A0" w:rsidRPr="008C1D0F" w:rsidRDefault="006560A0" w:rsidP="008E2513">
      <w:pPr>
        <w:pStyle w:val="ListParagraph"/>
        <w:numPr>
          <w:ilvl w:val="0"/>
          <w:numId w:val="9"/>
        </w:numPr>
        <w:spacing w:after="120"/>
        <w:contextualSpacing w:val="0"/>
        <w:jc w:val="both"/>
        <w:rPr>
          <w:rFonts w:ascii="Times New Roman" w:hAnsi="Times New Roman"/>
          <w:sz w:val="24"/>
          <w:szCs w:val="24"/>
        </w:rPr>
      </w:pPr>
      <w:r w:rsidRPr="008C1D0F">
        <w:rPr>
          <w:rFonts w:ascii="Times New Roman" w:hAnsi="Times New Roman"/>
          <w:sz w:val="24"/>
          <w:szCs w:val="24"/>
        </w:rPr>
        <w:t>Strategjisë Ndërsektoriale Kundër Korrupsionit 2015-2020 (SNKK);</w:t>
      </w:r>
    </w:p>
    <w:p w:rsidR="006560A0" w:rsidRPr="008C1D0F" w:rsidRDefault="006560A0" w:rsidP="008E2513">
      <w:pPr>
        <w:pStyle w:val="ListParagraph"/>
        <w:numPr>
          <w:ilvl w:val="0"/>
          <w:numId w:val="9"/>
        </w:numPr>
        <w:spacing w:after="120"/>
        <w:contextualSpacing w:val="0"/>
        <w:jc w:val="both"/>
        <w:rPr>
          <w:rFonts w:ascii="Times New Roman" w:hAnsi="Times New Roman"/>
          <w:sz w:val="24"/>
          <w:szCs w:val="24"/>
        </w:rPr>
      </w:pPr>
      <w:r w:rsidRPr="008C1D0F">
        <w:rPr>
          <w:rFonts w:ascii="Times New Roman" w:hAnsi="Times New Roman"/>
          <w:sz w:val="24"/>
          <w:szCs w:val="24"/>
        </w:rPr>
        <w:t>Kontratës Sektoriale të Mbështetjes Buxhetore për Reformën në Administratën Publike</w:t>
      </w:r>
      <w:r w:rsidR="00490452" w:rsidRPr="008C1D0F">
        <w:rPr>
          <w:rFonts w:ascii="Times New Roman" w:hAnsi="Times New Roman"/>
          <w:sz w:val="24"/>
          <w:szCs w:val="24"/>
        </w:rPr>
        <w:t xml:space="preserve"> </w:t>
      </w:r>
      <w:r w:rsidRPr="008C1D0F">
        <w:rPr>
          <w:rFonts w:ascii="Times New Roman" w:hAnsi="Times New Roman"/>
          <w:sz w:val="24"/>
          <w:szCs w:val="24"/>
        </w:rPr>
        <w:t>2015-2020</w:t>
      </w:r>
      <w:r w:rsidR="00AA34BA" w:rsidRPr="008C1D0F">
        <w:rPr>
          <w:rFonts w:ascii="Times New Roman" w:hAnsi="Times New Roman"/>
          <w:sz w:val="24"/>
          <w:szCs w:val="24"/>
        </w:rPr>
        <w:t xml:space="preserve"> </w:t>
      </w:r>
      <w:r w:rsidRPr="008C1D0F">
        <w:rPr>
          <w:rFonts w:ascii="Times New Roman" w:hAnsi="Times New Roman"/>
          <w:sz w:val="24"/>
          <w:szCs w:val="24"/>
        </w:rPr>
        <w:t xml:space="preserve">(SBS). </w:t>
      </w:r>
    </w:p>
    <w:p w:rsidR="00103D5B" w:rsidRPr="008C1D0F" w:rsidRDefault="006560A0" w:rsidP="008E2513">
      <w:pPr>
        <w:spacing w:after="120" w:line="276" w:lineRule="auto"/>
        <w:jc w:val="both"/>
      </w:pPr>
      <w:r w:rsidRPr="008C1D0F">
        <w:rPr>
          <w:rFonts w:eastAsia="Calibri"/>
        </w:rPr>
        <w:t xml:space="preserve">Në kuadër të zbatimit të këtyre dokumenteve strategjikë, Zyra e Komisionerit raporton në mënyrë periodike mbi progresin e objektivave dhe aktiviteteve të parashikuara në strategjitë përkatëse. </w:t>
      </w:r>
    </w:p>
    <w:p w:rsidR="00103D5B" w:rsidRPr="008C1D0F" w:rsidRDefault="00103D5B" w:rsidP="008E2513">
      <w:pPr>
        <w:spacing w:line="276" w:lineRule="auto"/>
        <w:jc w:val="both"/>
      </w:pPr>
      <w:r w:rsidRPr="008C1D0F">
        <w:t>-Zyra e Komisionerit ka nisur që prej muajit korrik publikimin e neësletter-it elektronik mujor “E drejta për informim”, e cila është një përmbledhje mujore, me karakter informues, mbi mbikëqyrjen e zbatimit të ligjit për të drejtën e informimit.</w:t>
      </w:r>
    </w:p>
    <w:p w:rsidR="00103D5B" w:rsidRPr="008C1D0F" w:rsidRDefault="00103D5B" w:rsidP="008E2513">
      <w:pPr>
        <w:spacing w:line="276" w:lineRule="auto"/>
        <w:jc w:val="both"/>
      </w:pPr>
      <w:r w:rsidRPr="008C1D0F">
        <w:t xml:space="preserve">  </w:t>
      </w:r>
    </w:p>
    <w:p w:rsidR="00103D5B" w:rsidRPr="008C1D0F" w:rsidRDefault="00103D5B" w:rsidP="008E2513">
      <w:pPr>
        <w:spacing w:line="276" w:lineRule="auto"/>
        <w:jc w:val="both"/>
      </w:pPr>
      <w:r w:rsidRPr="008C1D0F">
        <w:t>-Gjithashtu, duke marrë shkas nga situata e shkaktuar nga COVID–19, Zyra e Komisionerit u angazhua në publikimin e një posteri me temë, “Transparenca në distancë”, i cili kishte si qëllim ndërgjegjësimin e Autoriteteve Publike, për të qenë sa më proaktiv edhe në kushtet e pandemisë.</w:t>
      </w:r>
    </w:p>
    <w:p w:rsidR="00103D5B" w:rsidRPr="008C1D0F" w:rsidRDefault="00103D5B" w:rsidP="008E2513">
      <w:pPr>
        <w:spacing w:line="276" w:lineRule="auto"/>
        <w:jc w:val="both"/>
      </w:pPr>
      <w:r w:rsidRPr="008C1D0F">
        <w:t>-Në 28 Shtator 2020, Ditën Ndërkombëtare të së Drejtës për Informim, Zyra e Komisonerit, zhvilloi video-projeksion në sheshin “Nënë Tereza”, me shprehjet më të bukura për të drejtën e informimit. Aktiviteti u mbajt në kuadër të iniciativave ndërgjegjësuese për qytetarët për ushtrimin aktiv të të drejtës për t’u njohur me informacionin me karakter publik, nëpërmjet zbatimit të ligji</w:t>
      </w:r>
      <w:r w:rsidR="00F05DE6">
        <w:t xml:space="preserve">t për të drejtën e informimit. </w:t>
      </w:r>
      <w:r w:rsidRPr="008C1D0F">
        <w:t xml:space="preserve"> </w:t>
      </w:r>
    </w:p>
    <w:p w:rsidR="00D37646" w:rsidRPr="008C1D0F" w:rsidRDefault="00490452" w:rsidP="00C66D70">
      <w:pPr>
        <w:spacing w:after="120" w:line="276" w:lineRule="auto"/>
        <w:jc w:val="both"/>
      </w:pPr>
      <w:r w:rsidRPr="008C1D0F">
        <w:t>-</w:t>
      </w:r>
      <w:r w:rsidR="00D37646" w:rsidRPr="008C1D0F">
        <w:t xml:space="preserve">Zyra e Komisionerit </w:t>
      </w:r>
      <w:r w:rsidR="00793E8F" w:rsidRPr="008C1D0F">
        <w:t>ka zhvilluar</w:t>
      </w:r>
      <w:r w:rsidR="00D37646" w:rsidRPr="008C1D0F">
        <w:t xml:space="preserve"> takime online me koordinatorët për të drejtën e informimit </w:t>
      </w:r>
      <w:r w:rsidR="00103D5B" w:rsidRPr="008C1D0F">
        <w:t>.</w:t>
      </w:r>
      <w:r w:rsidR="00D37646" w:rsidRPr="008C1D0F">
        <w:t xml:space="preserve"> Qëllimi i </w:t>
      </w:r>
      <w:r w:rsidR="00C66D70">
        <w:t>tyre ka qenë</w:t>
      </w:r>
      <w:r w:rsidR="00D37646" w:rsidRPr="008C1D0F">
        <w:t xml:space="preserve"> ndërgjegjësimi lidhur me zbatueshmërinë e ligjit për të drejtën e informimit gjatë periudhës së fatkeqësisë natyrore. </w:t>
      </w:r>
    </w:p>
    <w:p w:rsidR="00793E8F" w:rsidRDefault="00793E8F" w:rsidP="008F241F">
      <w:pPr>
        <w:spacing w:after="40" w:line="288" w:lineRule="auto"/>
        <w:jc w:val="both"/>
        <w:rPr>
          <w:b/>
        </w:rPr>
      </w:pPr>
    </w:p>
    <w:p w:rsidR="00803AB1" w:rsidRPr="008C1D0F" w:rsidRDefault="00803AB1" w:rsidP="008F241F">
      <w:pPr>
        <w:spacing w:after="40" w:line="288" w:lineRule="auto"/>
        <w:jc w:val="both"/>
        <w:rPr>
          <w:b/>
        </w:rPr>
      </w:pPr>
    </w:p>
    <w:p w:rsidR="008F241F" w:rsidRPr="008C1D0F" w:rsidRDefault="00186993" w:rsidP="008F241F">
      <w:pPr>
        <w:spacing w:after="40" w:line="288" w:lineRule="auto"/>
        <w:jc w:val="both"/>
        <w:rPr>
          <w:b/>
        </w:rPr>
      </w:pPr>
      <w:r w:rsidRPr="008C1D0F">
        <w:rPr>
          <w:b/>
        </w:rPr>
        <w:t>MBROJTJA E T</w:t>
      </w:r>
      <w:r w:rsidR="00AA34BA" w:rsidRPr="008C1D0F">
        <w:rPr>
          <w:b/>
        </w:rPr>
        <w:t>Ë</w:t>
      </w:r>
      <w:r w:rsidRPr="008C1D0F">
        <w:rPr>
          <w:b/>
        </w:rPr>
        <w:t xml:space="preserve"> DH</w:t>
      </w:r>
      <w:r w:rsidR="00817046" w:rsidRPr="008C1D0F">
        <w:rPr>
          <w:b/>
        </w:rPr>
        <w:t>Ë</w:t>
      </w:r>
      <w:r w:rsidRPr="008C1D0F">
        <w:rPr>
          <w:b/>
        </w:rPr>
        <w:t xml:space="preserve">NAVE PERSONALE </w:t>
      </w:r>
    </w:p>
    <w:p w:rsidR="009F04F1" w:rsidRPr="008C1D0F" w:rsidRDefault="009F04F1" w:rsidP="008F241F">
      <w:pPr>
        <w:spacing w:after="40" w:line="288" w:lineRule="auto"/>
        <w:jc w:val="both"/>
        <w:rPr>
          <w:b/>
        </w:rPr>
      </w:pPr>
    </w:p>
    <w:p w:rsidR="006560A0" w:rsidRPr="008C1D0F" w:rsidRDefault="00793E8F" w:rsidP="0082582B">
      <w:pPr>
        <w:pStyle w:val="BodyText"/>
        <w:numPr>
          <w:ilvl w:val="0"/>
          <w:numId w:val="4"/>
        </w:numPr>
        <w:spacing w:after="0" w:line="276" w:lineRule="auto"/>
        <w:jc w:val="both"/>
        <w:rPr>
          <w:b/>
        </w:rPr>
      </w:pPr>
      <w:r w:rsidRPr="008C1D0F">
        <w:rPr>
          <w:rFonts w:eastAsia="Batang"/>
          <w:b/>
        </w:rPr>
        <w:t>Nënprodukti C</w:t>
      </w:r>
      <w:r w:rsidR="006560A0" w:rsidRPr="008C1D0F">
        <w:rPr>
          <w:rFonts w:eastAsia="Batang"/>
          <w:b/>
        </w:rPr>
        <w:t>:</w:t>
      </w:r>
      <w:r w:rsidR="005B2398" w:rsidRPr="008C1D0F">
        <w:rPr>
          <w:rFonts w:eastAsia="Batang"/>
          <w:b/>
        </w:rPr>
        <w:t xml:space="preserve"> </w:t>
      </w:r>
      <w:r w:rsidR="00A35B40" w:rsidRPr="008C1D0F">
        <w:rPr>
          <w:b/>
        </w:rPr>
        <w:t xml:space="preserve">Mbikëqyrje dhe inspektime, i ndryshuar, </w:t>
      </w:r>
      <w:r w:rsidR="006560A0" w:rsidRPr="008C1D0F">
        <w:rPr>
          <w:b/>
        </w:rPr>
        <w:t>(nr.+-</w:t>
      </w:r>
      <w:r w:rsidR="002413A7" w:rsidRPr="008C1D0F">
        <w:rPr>
          <w:b/>
        </w:rPr>
        <w:t xml:space="preserve">70 </w:t>
      </w:r>
      <w:r w:rsidR="006560A0" w:rsidRPr="008C1D0F">
        <w:rPr>
          <w:b/>
        </w:rPr>
        <w:t>inspektime).</w:t>
      </w:r>
    </w:p>
    <w:p w:rsidR="006560A0" w:rsidRPr="008C1D0F" w:rsidRDefault="006560A0" w:rsidP="006560A0">
      <w:pPr>
        <w:pStyle w:val="BodyText"/>
        <w:spacing w:after="0" w:line="276" w:lineRule="auto"/>
        <w:jc w:val="both"/>
      </w:pPr>
    </w:p>
    <w:p w:rsidR="00186993" w:rsidRPr="008C1D0F" w:rsidRDefault="006560A0" w:rsidP="00C66D70">
      <w:pPr>
        <w:pStyle w:val="BodyText"/>
        <w:spacing w:after="0" w:line="276" w:lineRule="auto"/>
        <w:jc w:val="both"/>
      </w:pPr>
      <w:r w:rsidRPr="008C1D0F">
        <w:t xml:space="preserve">Nëpërmjet procedurave për realizimin e këtij produkti, bëhet e mundur minimizimi i rrezikut të cënimit të privatësisë dhe mbrojtjes së të dhënave personale; Ndërgjegjësimi dhe disiplinimi i kontrolluesve; Krijimi i praktikës së mirë për kontrolluesit. </w:t>
      </w:r>
    </w:p>
    <w:p w:rsidR="00186993" w:rsidRPr="008C1D0F" w:rsidRDefault="00186993" w:rsidP="00C66D70">
      <w:pPr>
        <w:pStyle w:val="NormalWeb"/>
        <w:shd w:val="clear" w:color="auto" w:fill="FFFFFF"/>
        <w:spacing w:before="0" w:beforeAutospacing="0" w:after="120" w:afterAutospacing="0" w:line="276" w:lineRule="auto"/>
        <w:jc w:val="both"/>
        <w:rPr>
          <w:b/>
          <w:color w:val="000000"/>
          <w:lang w:val="sq-AL"/>
        </w:rPr>
      </w:pPr>
      <w:r w:rsidRPr="008C1D0F">
        <w:rPr>
          <w:rFonts w:eastAsia="Times New Roman"/>
          <w:lang w:val="sq-AL"/>
        </w:rPr>
        <w:t>Duke qenë se kjo periudhë përkon me situatën e shkaktuar nga COVID-19, Zyra e Komisionerit ka ndjekur me vëmendje të veçantë përpunimin e të dhënave personale në kuadër të masave për parandalimin e përhapjes së COVID-19, në funksion të garantimit të respektimit të të drejtave të subjekteve të të dhënave, siç përcaktohet nga dispozitat e ligjit nr. 9887, datë 10.03.2008 “</w:t>
      </w:r>
      <w:r w:rsidRPr="008C1D0F">
        <w:rPr>
          <w:rFonts w:eastAsia="Times New Roman"/>
          <w:i/>
          <w:lang w:val="sq-AL"/>
        </w:rPr>
        <w:t>Për mbrojtjen e të dhënave personale</w:t>
      </w:r>
      <w:r w:rsidRPr="008C1D0F">
        <w:rPr>
          <w:rFonts w:eastAsia="Times New Roman"/>
          <w:lang w:val="sq-AL"/>
        </w:rPr>
        <w:t>” i ndryshuar.</w:t>
      </w:r>
    </w:p>
    <w:p w:rsidR="00186993" w:rsidRPr="008C1D0F" w:rsidRDefault="00186993" w:rsidP="008E2513">
      <w:pPr>
        <w:spacing w:after="120" w:line="276" w:lineRule="auto"/>
        <w:jc w:val="both"/>
      </w:pPr>
      <w:r w:rsidRPr="008C1D0F">
        <w:t xml:space="preserve">Në lidhje me sa më sipër, Zyra e Komisionerit ka adresuar kërkesa të ndryshme të ardhura, qoftë nga vetë institucionet publike, qoftë nga subjekte të të dhënave, lidhur me situata të caktuara </w:t>
      </w:r>
      <w:r w:rsidR="00A35B40" w:rsidRPr="008C1D0F">
        <w:t>përpunimi të dhënash personale</w:t>
      </w:r>
      <w:r w:rsidR="004B32B7" w:rsidRPr="008C1D0F">
        <w:t>.</w:t>
      </w:r>
    </w:p>
    <w:p w:rsidR="00667EF5" w:rsidRPr="008C1D0F" w:rsidRDefault="00667EF5" w:rsidP="001A0934">
      <w:pPr>
        <w:spacing w:after="200" w:line="276" w:lineRule="auto"/>
        <w:jc w:val="both"/>
      </w:pPr>
      <w:r w:rsidRPr="008C1D0F">
        <w:rPr>
          <w:bCs/>
        </w:rPr>
        <w:t>Për</w:t>
      </w:r>
      <w:r w:rsidRPr="008C1D0F">
        <w:t xml:space="preserve"> vitin 2020, Zyra e Komisionerit ka kryer 60 hetime administrative. Nga këta, 21 janë iniciuar si në bazë të ankesave dhe 39 me nismën e Zyrë së Komisionerit, ndër të tjera, në përmbushje të detyrimeve ligjore dhe të Rezolutës së Kuvendit. 15 hetime administrative janë realizuar në kontrollues publikë dhe 45 në kontrollues privat. </w:t>
      </w:r>
    </w:p>
    <w:p w:rsidR="00667EF5" w:rsidRPr="008C1D0F" w:rsidRDefault="00667EF5" w:rsidP="008E2513">
      <w:pPr>
        <w:shd w:val="clear" w:color="auto" w:fill="FFFFFF" w:themeFill="background1"/>
        <w:spacing w:line="276" w:lineRule="auto"/>
        <w:ind w:left="7" w:hanging="7"/>
        <w:jc w:val="both"/>
      </w:pPr>
      <w:r w:rsidRPr="008C1D0F">
        <w:t xml:space="preserve">Zyra e Komisionerit ka përfunduar procesin e adresimit dhe zbatimit të rekomandimeve sipas Rezolutës së Kuvendit në lidhje, veçanërisht, me monitorimin dhe mbikëqyrjen e kontrolluesve me fokus platformat </w:t>
      </w:r>
      <w:r w:rsidRPr="008C1D0F">
        <w:rPr>
          <w:i/>
        </w:rPr>
        <w:t>online</w:t>
      </w:r>
      <w:r w:rsidRPr="008C1D0F">
        <w:t xml:space="preserve">, sektorin e teknologjisë së informacionit dhe komunikimit ose sektorë që përpunojnë të dhëna sensitive, </w:t>
      </w:r>
      <w:r w:rsidR="00355F8A" w:rsidRPr="008C1D0F">
        <w:rPr>
          <w:bCs/>
        </w:rPr>
        <w:t xml:space="preserve">me qëllim verifikimin e përputhshmërisë së tyre me parimet dhe detyrimet e ligjit nr. 9887, datë 10.03.2008 </w:t>
      </w:r>
      <w:r w:rsidR="00803AB1">
        <w:rPr>
          <w:bCs/>
        </w:rPr>
        <w:t xml:space="preserve">                    </w:t>
      </w:r>
      <w:r w:rsidR="00355F8A" w:rsidRPr="008C1D0F">
        <w:rPr>
          <w:bCs/>
        </w:rPr>
        <w:t>“</w:t>
      </w:r>
      <w:r w:rsidR="00355F8A" w:rsidRPr="008C1D0F">
        <w:rPr>
          <w:bCs/>
          <w:i/>
        </w:rPr>
        <w:t>Për mbrojtjen e të dhënave personale</w:t>
      </w:r>
      <w:r w:rsidR="00355F8A" w:rsidRPr="008C1D0F">
        <w:rPr>
          <w:bCs/>
        </w:rPr>
        <w:t xml:space="preserve">” i ndryshuar dhe akteve nënligjore të miratuara nga Komisioneri. </w:t>
      </w:r>
    </w:p>
    <w:p w:rsidR="00667EF5" w:rsidRPr="008C1D0F" w:rsidRDefault="00667EF5" w:rsidP="008E2513">
      <w:pPr>
        <w:spacing w:line="276" w:lineRule="auto"/>
        <w:jc w:val="both"/>
        <w:rPr>
          <w:iCs/>
        </w:rPr>
      </w:pPr>
      <w:r w:rsidRPr="008C1D0F">
        <w:rPr>
          <w:iCs/>
        </w:rPr>
        <w:t>Situata e krijuar nga COVID-19 ka parakushtëzuar dhe kufizuar nga pikëpamja sasiore veprimtaritë inspektuese në terren, të cilat, vetëkuptueshëm, kanë qenë më të reduktuara në numër në krahasim me vitin 2019.</w:t>
      </w:r>
    </w:p>
    <w:p w:rsidR="00667EF5" w:rsidRPr="008C1D0F" w:rsidRDefault="00667EF5" w:rsidP="00355F8A">
      <w:pPr>
        <w:spacing w:line="276" w:lineRule="auto"/>
        <w:jc w:val="both"/>
        <w:rPr>
          <w:bCs/>
        </w:rPr>
      </w:pPr>
    </w:p>
    <w:p w:rsidR="006560A0" w:rsidRPr="008C1D0F" w:rsidRDefault="006560A0" w:rsidP="0082582B">
      <w:pPr>
        <w:numPr>
          <w:ilvl w:val="0"/>
          <w:numId w:val="6"/>
        </w:numPr>
        <w:spacing w:line="276" w:lineRule="auto"/>
        <w:jc w:val="both"/>
        <w:rPr>
          <w:b/>
          <w:bCs/>
          <w:i/>
          <w:color w:val="000000" w:themeColor="text1"/>
        </w:rPr>
      </w:pPr>
      <w:r w:rsidRPr="008C1D0F">
        <w:rPr>
          <w:b/>
          <w:i/>
          <w:color w:val="000000" w:themeColor="text1"/>
        </w:rPr>
        <w:t>Rekomandime/Vendime gjobe</w:t>
      </w:r>
    </w:p>
    <w:p w:rsidR="006560A0" w:rsidRPr="008C1D0F" w:rsidRDefault="006560A0" w:rsidP="006560A0">
      <w:pPr>
        <w:spacing w:line="276" w:lineRule="auto"/>
        <w:jc w:val="both"/>
        <w:rPr>
          <w:b/>
          <w:bCs/>
          <w:i/>
          <w:color w:val="000000" w:themeColor="text1"/>
        </w:rPr>
      </w:pPr>
    </w:p>
    <w:p w:rsidR="00FB16FD" w:rsidRPr="008C1D0F" w:rsidRDefault="00FB16FD" w:rsidP="00803AB1">
      <w:pPr>
        <w:spacing w:after="120" w:line="276" w:lineRule="auto"/>
        <w:jc w:val="both"/>
        <w:rPr>
          <w:rFonts w:eastAsia="Calibri"/>
        </w:rPr>
      </w:pPr>
      <w:r w:rsidRPr="008C1D0F">
        <w:rPr>
          <w:rFonts w:eastAsia="Calibri"/>
        </w:rPr>
        <w:t xml:space="preserve">Komisioneri në zbatim të </w:t>
      </w:r>
      <w:r w:rsidR="003E22B5" w:rsidRPr="008C1D0F">
        <w:rPr>
          <w:rFonts w:eastAsia="Calibri"/>
        </w:rPr>
        <w:t>kompetencave që i jep ligji nr.</w:t>
      </w:r>
      <w:r w:rsidR="00803AB1">
        <w:rPr>
          <w:rFonts w:eastAsia="Calibri"/>
        </w:rPr>
        <w:t xml:space="preserve"> </w:t>
      </w:r>
      <w:r w:rsidRPr="008C1D0F">
        <w:rPr>
          <w:rFonts w:eastAsia="Calibri"/>
        </w:rPr>
        <w:t>9887/2008 “Për mbrojtjen e të dhënave personale” i ndryshuar, është shprehur me:</w:t>
      </w:r>
    </w:p>
    <w:p w:rsidR="00B23928" w:rsidRPr="008C1D0F" w:rsidRDefault="00FB16FD" w:rsidP="008C1D0F">
      <w:pPr>
        <w:pStyle w:val="ListParagraph"/>
        <w:numPr>
          <w:ilvl w:val="0"/>
          <w:numId w:val="13"/>
        </w:numPr>
        <w:jc w:val="both"/>
        <w:rPr>
          <w:rFonts w:ascii="Times New Roman" w:hAnsi="Times New Roman"/>
          <w:sz w:val="24"/>
          <w:szCs w:val="24"/>
        </w:rPr>
      </w:pPr>
      <w:r w:rsidRPr="008C1D0F">
        <w:rPr>
          <w:rFonts w:ascii="Times New Roman" w:eastAsia="Times New Roman" w:hAnsi="Times New Roman"/>
          <w:b/>
          <w:bCs/>
          <w:color w:val="000000"/>
          <w:sz w:val="24"/>
          <w:szCs w:val="24"/>
        </w:rPr>
        <w:t>Rekomandime unifikuese</w:t>
      </w:r>
      <w:r w:rsidRPr="008C1D0F">
        <w:rPr>
          <w:rFonts w:ascii="Times New Roman" w:eastAsia="Times New Roman" w:hAnsi="Times New Roman"/>
          <w:bCs/>
          <w:color w:val="000000"/>
          <w:sz w:val="24"/>
          <w:szCs w:val="24"/>
        </w:rPr>
        <w:t xml:space="preserve"> </w:t>
      </w:r>
      <w:r w:rsidRPr="008C1D0F">
        <w:rPr>
          <w:rFonts w:ascii="Times New Roman" w:eastAsia="Times New Roman" w:hAnsi="Times New Roman"/>
          <w:sz w:val="24"/>
          <w:szCs w:val="24"/>
          <w:lang w:eastAsia="sq-AL"/>
        </w:rPr>
        <w:t>dërguar kontrollues</w:t>
      </w:r>
      <w:r w:rsidR="00A37590" w:rsidRPr="008C1D0F">
        <w:rPr>
          <w:rFonts w:ascii="Times New Roman" w:eastAsia="Times New Roman" w:hAnsi="Times New Roman"/>
          <w:sz w:val="24"/>
          <w:szCs w:val="24"/>
          <w:lang w:eastAsia="sq-AL"/>
        </w:rPr>
        <w:t>ve</w:t>
      </w:r>
      <w:r w:rsidRPr="008C1D0F">
        <w:rPr>
          <w:rFonts w:ascii="Times New Roman" w:eastAsia="Times New Roman" w:hAnsi="Times New Roman"/>
          <w:sz w:val="24"/>
          <w:szCs w:val="24"/>
          <w:lang w:eastAsia="sq-AL"/>
        </w:rPr>
        <w:t xml:space="preserve"> (institucione të administratës shtetërore) </w:t>
      </w:r>
      <w:r w:rsidR="00B23928" w:rsidRPr="008C1D0F">
        <w:rPr>
          <w:rFonts w:ascii="Times New Roman" w:hAnsi="Times New Roman"/>
          <w:sz w:val="24"/>
          <w:szCs w:val="24"/>
        </w:rPr>
        <w:t>Nisur nga pervoja pozitive e Rekomandimeve Unifikuese të Komisionerit, edhe këtë vit Komisioneri ka vijuar me dhënien e Rekomandimeve të kësaj natyre.</w:t>
      </w:r>
    </w:p>
    <w:p w:rsidR="00B23928" w:rsidRPr="008C1D0F" w:rsidRDefault="00B23928" w:rsidP="008C1D0F">
      <w:pPr>
        <w:spacing w:line="276" w:lineRule="auto"/>
        <w:jc w:val="both"/>
        <w:rPr>
          <w:bCs/>
          <w:i/>
          <w:u w:val="single"/>
        </w:rPr>
      </w:pPr>
      <w:bookmarkStart w:id="0" w:name="_Toc474707668"/>
      <w:r w:rsidRPr="008C1D0F">
        <w:rPr>
          <w:bCs/>
        </w:rPr>
        <w:t>Rekomandimet e nxjerra për Institucionet e Administratës  Shtetërore kanë konsistuar në:</w:t>
      </w:r>
    </w:p>
    <w:bookmarkEnd w:id="0"/>
    <w:p w:rsidR="00B23928" w:rsidRPr="008C1D0F" w:rsidRDefault="00B23928" w:rsidP="008C1D0F">
      <w:pPr>
        <w:pStyle w:val="ListParagraph"/>
        <w:keepNext/>
        <w:keepLines/>
        <w:numPr>
          <w:ilvl w:val="0"/>
          <w:numId w:val="23"/>
        </w:numPr>
        <w:spacing w:after="0"/>
        <w:ind w:left="426" w:hanging="426"/>
        <w:outlineLvl w:val="2"/>
        <w:rPr>
          <w:rFonts w:ascii="Times New Roman" w:eastAsiaTheme="majorEastAsia" w:hAnsi="Times New Roman"/>
          <w:bCs/>
          <w:sz w:val="24"/>
          <w:szCs w:val="24"/>
        </w:rPr>
      </w:pPr>
      <w:r w:rsidRPr="008C1D0F">
        <w:rPr>
          <w:rFonts w:ascii="Times New Roman" w:eastAsiaTheme="majorEastAsia" w:hAnsi="Times New Roman"/>
          <w:bCs/>
          <w:sz w:val="24"/>
          <w:szCs w:val="24"/>
        </w:rPr>
        <w:t>caktimin e personit të kontaktit për mbrojtjen e të dhënave personale;</w:t>
      </w:r>
    </w:p>
    <w:p w:rsidR="00B23928" w:rsidRPr="008C1D0F" w:rsidRDefault="00B23928" w:rsidP="008C1D0F">
      <w:pPr>
        <w:pStyle w:val="ListParagraph"/>
        <w:numPr>
          <w:ilvl w:val="0"/>
          <w:numId w:val="23"/>
        </w:numPr>
        <w:spacing w:after="160"/>
        <w:ind w:left="426" w:hanging="426"/>
        <w:rPr>
          <w:rFonts w:ascii="Times New Roman" w:hAnsi="Times New Roman"/>
          <w:sz w:val="24"/>
          <w:szCs w:val="24"/>
        </w:rPr>
      </w:pPr>
      <w:r w:rsidRPr="008C1D0F">
        <w:rPr>
          <w:rFonts w:ascii="Times New Roman" w:hAnsi="Times New Roman"/>
          <w:sz w:val="24"/>
          <w:szCs w:val="24"/>
        </w:rPr>
        <w:t>publikimin e “</w:t>
      </w:r>
      <w:r w:rsidRPr="008C1D0F">
        <w:rPr>
          <w:rFonts w:ascii="Times New Roman" w:hAnsi="Times New Roman"/>
          <w:i/>
          <w:sz w:val="24"/>
          <w:szCs w:val="24"/>
        </w:rPr>
        <w:t>politikave të privatësisë</w:t>
      </w:r>
      <w:r w:rsidRPr="008C1D0F">
        <w:rPr>
          <w:rFonts w:ascii="Times New Roman" w:hAnsi="Times New Roman"/>
          <w:sz w:val="24"/>
          <w:szCs w:val="24"/>
        </w:rPr>
        <w:t xml:space="preserve">”, në faqet e tyre zyrtare të internetit. </w:t>
      </w:r>
    </w:p>
    <w:p w:rsidR="00B23928" w:rsidRPr="008C1D0F" w:rsidRDefault="00B23928" w:rsidP="008C1D0F">
      <w:pPr>
        <w:spacing w:after="160" w:line="276" w:lineRule="auto"/>
      </w:pPr>
      <w:r w:rsidRPr="008C1D0F">
        <w:t>Gjatë vitit 2020, Zyra e Komisionerit është shprehur me:</w:t>
      </w:r>
    </w:p>
    <w:p w:rsidR="00FB16FD" w:rsidRPr="008C1D0F" w:rsidRDefault="00A37590" w:rsidP="008C1D0F">
      <w:pPr>
        <w:pStyle w:val="ListParagraph"/>
        <w:numPr>
          <w:ilvl w:val="0"/>
          <w:numId w:val="30"/>
        </w:numPr>
        <w:spacing w:after="160"/>
        <w:jc w:val="both"/>
        <w:rPr>
          <w:rFonts w:ascii="Times New Roman" w:hAnsi="Times New Roman"/>
          <w:sz w:val="24"/>
          <w:szCs w:val="24"/>
        </w:rPr>
      </w:pPr>
      <w:r w:rsidRPr="008C1D0F">
        <w:rPr>
          <w:rFonts w:ascii="Times New Roman" w:hAnsi="Times New Roman"/>
          <w:b/>
          <w:sz w:val="24"/>
          <w:szCs w:val="24"/>
        </w:rPr>
        <w:t>76</w:t>
      </w:r>
      <w:r w:rsidR="00FB16FD" w:rsidRPr="008C1D0F">
        <w:rPr>
          <w:rFonts w:ascii="Times New Roman" w:hAnsi="Times New Roman"/>
          <w:b/>
          <w:sz w:val="24"/>
          <w:szCs w:val="24"/>
        </w:rPr>
        <w:t xml:space="preserve"> Rekomandime</w:t>
      </w:r>
      <w:r w:rsidR="00FB16FD" w:rsidRPr="008C1D0F">
        <w:rPr>
          <w:rFonts w:ascii="Times New Roman" w:hAnsi="Times New Roman"/>
          <w:sz w:val="24"/>
          <w:szCs w:val="24"/>
        </w:rPr>
        <w:t xml:space="preserve"> në kontrollues </w:t>
      </w:r>
      <w:r w:rsidRPr="008C1D0F">
        <w:rPr>
          <w:rFonts w:ascii="Times New Roman" w:hAnsi="Times New Roman"/>
          <w:sz w:val="24"/>
          <w:szCs w:val="24"/>
        </w:rPr>
        <w:t>te ndryshem publikë/</w:t>
      </w:r>
      <w:r w:rsidR="00FB16FD" w:rsidRPr="008C1D0F">
        <w:rPr>
          <w:rFonts w:ascii="Times New Roman" w:hAnsi="Times New Roman"/>
          <w:sz w:val="24"/>
          <w:szCs w:val="24"/>
        </w:rPr>
        <w:t>privat</w:t>
      </w:r>
      <w:r w:rsidR="00B23928" w:rsidRPr="008C1D0F">
        <w:rPr>
          <w:rFonts w:ascii="Times New Roman" w:hAnsi="Times New Roman"/>
          <w:sz w:val="24"/>
          <w:szCs w:val="24"/>
        </w:rPr>
        <w:t>, te cila korrenspndojne me 58 për kontrollues publikë dhe 18 për kontrollues privat.</w:t>
      </w:r>
    </w:p>
    <w:p w:rsidR="008C1D0F" w:rsidRPr="008C1D0F" w:rsidRDefault="00A37590" w:rsidP="008C1D0F">
      <w:pPr>
        <w:pStyle w:val="ListParagraph"/>
        <w:numPr>
          <w:ilvl w:val="0"/>
          <w:numId w:val="30"/>
        </w:numPr>
        <w:spacing w:after="160"/>
        <w:jc w:val="both"/>
        <w:rPr>
          <w:rFonts w:ascii="Times New Roman" w:hAnsi="Times New Roman"/>
          <w:sz w:val="24"/>
          <w:szCs w:val="24"/>
        </w:rPr>
      </w:pPr>
      <w:r w:rsidRPr="008C1D0F">
        <w:rPr>
          <w:rFonts w:ascii="Times New Roman" w:hAnsi="Times New Roman"/>
          <w:b/>
          <w:sz w:val="24"/>
          <w:szCs w:val="24"/>
        </w:rPr>
        <w:t>18</w:t>
      </w:r>
      <w:r w:rsidRPr="008C1D0F">
        <w:rPr>
          <w:rFonts w:ascii="Times New Roman" w:hAnsi="Times New Roman"/>
          <w:sz w:val="24"/>
          <w:szCs w:val="24"/>
        </w:rPr>
        <w:t xml:space="preserve"> vendime,</w:t>
      </w:r>
      <w:r w:rsidRPr="008C1D0F">
        <w:rPr>
          <w:rFonts w:ascii="Times New Roman" w:hAnsi="Times New Roman"/>
          <w:color w:val="FF0000"/>
          <w:sz w:val="24"/>
          <w:szCs w:val="24"/>
        </w:rPr>
        <w:t xml:space="preserve"> </w:t>
      </w:r>
      <w:r w:rsidRPr="008C1D0F">
        <w:rPr>
          <w:rFonts w:ascii="Times New Roman" w:hAnsi="Times New Roman"/>
          <w:sz w:val="24"/>
          <w:szCs w:val="24"/>
        </w:rPr>
        <w:t xml:space="preserve">të cilat korrespondojnë me </w:t>
      </w:r>
      <w:r w:rsidRPr="008C1D0F">
        <w:rPr>
          <w:rFonts w:ascii="Times New Roman" w:hAnsi="Times New Roman"/>
          <w:b/>
          <w:sz w:val="24"/>
          <w:szCs w:val="24"/>
        </w:rPr>
        <w:t>37</w:t>
      </w:r>
      <w:r w:rsidRPr="008C1D0F">
        <w:rPr>
          <w:rFonts w:ascii="Times New Roman" w:hAnsi="Times New Roman"/>
          <w:sz w:val="24"/>
          <w:szCs w:val="24"/>
        </w:rPr>
        <w:t xml:space="preserve"> sanksione administrative.</w:t>
      </w:r>
    </w:p>
    <w:p w:rsidR="00FB16FD" w:rsidRPr="008C1D0F" w:rsidRDefault="00A37590" w:rsidP="008C1D0F">
      <w:pPr>
        <w:pStyle w:val="ListParagraph"/>
        <w:numPr>
          <w:ilvl w:val="0"/>
          <w:numId w:val="30"/>
        </w:numPr>
        <w:spacing w:after="160"/>
        <w:jc w:val="both"/>
        <w:rPr>
          <w:rFonts w:ascii="Times New Roman" w:hAnsi="Times New Roman"/>
          <w:sz w:val="24"/>
          <w:szCs w:val="24"/>
        </w:rPr>
      </w:pPr>
      <w:r w:rsidRPr="008C1D0F">
        <w:rPr>
          <w:rFonts w:ascii="Times New Roman" w:eastAsia="Times New Roman" w:hAnsi="Times New Roman"/>
          <w:b/>
          <w:sz w:val="24"/>
          <w:szCs w:val="24"/>
        </w:rPr>
        <w:t>18</w:t>
      </w:r>
      <w:r w:rsidR="00FB16FD" w:rsidRPr="008C1D0F">
        <w:rPr>
          <w:rFonts w:ascii="Times New Roman" w:eastAsia="Times New Roman" w:hAnsi="Times New Roman"/>
          <w:sz w:val="24"/>
          <w:szCs w:val="24"/>
        </w:rPr>
        <w:t xml:space="preserve"> </w:t>
      </w:r>
      <w:r w:rsidR="00FB16FD" w:rsidRPr="008C1D0F">
        <w:rPr>
          <w:rFonts w:ascii="Times New Roman" w:eastAsia="Times New Roman" w:hAnsi="Times New Roman"/>
          <w:b/>
          <w:sz w:val="24"/>
          <w:szCs w:val="24"/>
        </w:rPr>
        <w:t>Vendime</w:t>
      </w:r>
      <w:r w:rsidR="00FB16FD" w:rsidRPr="008C1D0F">
        <w:rPr>
          <w:rFonts w:ascii="Times New Roman" w:eastAsia="Times New Roman" w:hAnsi="Times New Roman"/>
          <w:color w:val="FF0000"/>
          <w:sz w:val="24"/>
          <w:szCs w:val="24"/>
        </w:rPr>
        <w:t xml:space="preserve"> </w:t>
      </w:r>
      <w:proofErr w:type="spellStart"/>
      <w:r w:rsidR="00FB16FD" w:rsidRPr="008C1D0F">
        <w:rPr>
          <w:rFonts w:ascii="Times New Roman" w:eastAsia="Times New Roman" w:hAnsi="Times New Roman"/>
          <w:sz w:val="24"/>
          <w:szCs w:val="24"/>
          <w:lang w:val="en-GB" w:eastAsia="en-GB"/>
        </w:rPr>
        <w:t>në</w:t>
      </w:r>
      <w:proofErr w:type="spellEnd"/>
      <w:r w:rsidR="00FB16FD" w:rsidRPr="008C1D0F">
        <w:rPr>
          <w:rFonts w:ascii="Times New Roman" w:eastAsia="Times New Roman" w:hAnsi="Times New Roman"/>
          <w:sz w:val="24"/>
          <w:szCs w:val="24"/>
          <w:lang w:val="en-GB" w:eastAsia="en-GB"/>
        </w:rPr>
        <w:t xml:space="preserve"> </w:t>
      </w:r>
      <w:proofErr w:type="spellStart"/>
      <w:r w:rsidR="00FB16FD" w:rsidRPr="008C1D0F">
        <w:rPr>
          <w:rFonts w:ascii="Times New Roman" w:eastAsia="Times New Roman" w:hAnsi="Times New Roman"/>
          <w:sz w:val="24"/>
          <w:szCs w:val="24"/>
          <w:lang w:val="en-GB" w:eastAsia="en-GB"/>
        </w:rPr>
        <w:t>kontrollues</w:t>
      </w:r>
      <w:proofErr w:type="spellEnd"/>
      <w:r w:rsidR="00FB16FD" w:rsidRPr="008C1D0F">
        <w:rPr>
          <w:rFonts w:ascii="Times New Roman" w:eastAsia="Times New Roman" w:hAnsi="Times New Roman"/>
          <w:sz w:val="24"/>
          <w:szCs w:val="24"/>
          <w:lang w:val="en-GB" w:eastAsia="en-GB"/>
        </w:rPr>
        <w:t xml:space="preserve"> </w:t>
      </w:r>
      <w:proofErr w:type="spellStart"/>
      <w:r w:rsidR="00FB16FD" w:rsidRPr="008C1D0F">
        <w:rPr>
          <w:rFonts w:ascii="Times New Roman" w:eastAsia="Times New Roman" w:hAnsi="Times New Roman"/>
          <w:sz w:val="24"/>
          <w:szCs w:val="24"/>
          <w:lang w:val="en-GB" w:eastAsia="en-GB"/>
        </w:rPr>
        <w:t>privat</w:t>
      </w:r>
      <w:proofErr w:type="spellEnd"/>
      <w:r w:rsidR="00FB16FD" w:rsidRPr="008C1D0F">
        <w:rPr>
          <w:rFonts w:ascii="Times New Roman" w:eastAsia="Times New Roman" w:hAnsi="Times New Roman"/>
          <w:sz w:val="24"/>
          <w:szCs w:val="24"/>
          <w:lang w:val="en-GB" w:eastAsia="en-GB"/>
        </w:rPr>
        <w:t xml:space="preserve"> </w:t>
      </w:r>
      <w:r w:rsidR="00FB16FD" w:rsidRPr="008C1D0F">
        <w:rPr>
          <w:rFonts w:ascii="Times New Roman" w:eastAsia="Times New Roman" w:hAnsi="Times New Roman"/>
          <w:sz w:val="24"/>
          <w:szCs w:val="24"/>
        </w:rPr>
        <w:t xml:space="preserve">të cilat korrespondojnë me </w:t>
      </w:r>
      <w:r w:rsidR="00FB16FD" w:rsidRPr="008C1D0F">
        <w:rPr>
          <w:rFonts w:ascii="Times New Roman" w:eastAsia="Times New Roman" w:hAnsi="Times New Roman"/>
          <w:b/>
          <w:sz w:val="24"/>
          <w:szCs w:val="24"/>
        </w:rPr>
        <w:t xml:space="preserve">32 </w:t>
      </w:r>
      <w:r w:rsidR="008C1D0F" w:rsidRPr="008C1D0F">
        <w:rPr>
          <w:rFonts w:ascii="Times New Roman" w:eastAsia="Times New Roman" w:hAnsi="Times New Roman"/>
          <w:sz w:val="24"/>
          <w:szCs w:val="24"/>
        </w:rPr>
        <w:t>sanksione administrative;</w:t>
      </w:r>
    </w:p>
    <w:p w:rsidR="00B23928" w:rsidRPr="008C1D0F" w:rsidRDefault="00B23928" w:rsidP="008C1D0F">
      <w:pPr>
        <w:pStyle w:val="ListParagraph"/>
        <w:numPr>
          <w:ilvl w:val="0"/>
          <w:numId w:val="30"/>
        </w:numPr>
        <w:spacing w:after="160"/>
        <w:jc w:val="both"/>
        <w:rPr>
          <w:rFonts w:ascii="Times New Roman" w:hAnsi="Times New Roman"/>
          <w:sz w:val="24"/>
          <w:szCs w:val="24"/>
        </w:rPr>
      </w:pPr>
      <w:r w:rsidRPr="008C1D0F">
        <w:rPr>
          <w:rFonts w:ascii="Times New Roman" w:hAnsi="Times New Roman"/>
          <w:sz w:val="24"/>
          <w:szCs w:val="24"/>
        </w:rPr>
        <w:t>Përgjatë këtij viti është dalë me 1 vendim për lejimin e transferimit ndërkombëtar në shtete pa nivel të mjaftueshëm të mbrojtjes së të dhënave personale.</w:t>
      </w:r>
    </w:p>
    <w:p w:rsidR="00F95539" w:rsidRPr="008C1D0F" w:rsidRDefault="00B23928" w:rsidP="008C1D0F">
      <w:pPr>
        <w:pStyle w:val="ListParagraph"/>
        <w:numPr>
          <w:ilvl w:val="0"/>
          <w:numId w:val="25"/>
        </w:numPr>
        <w:shd w:val="clear" w:color="auto" w:fill="FFFFFF"/>
        <w:spacing w:after="0"/>
        <w:jc w:val="both"/>
        <w:textAlignment w:val="baseline"/>
        <w:rPr>
          <w:rFonts w:ascii="Times New Roman" w:hAnsi="Times New Roman"/>
          <w:sz w:val="24"/>
          <w:szCs w:val="24"/>
        </w:rPr>
      </w:pPr>
      <w:r w:rsidRPr="008C1D0F">
        <w:rPr>
          <w:rFonts w:ascii="Times New Roman" w:hAnsi="Times New Roman"/>
          <w:sz w:val="24"/>
          <w:szCs w:val="24"/>
        </w:rPr>
        <w:t>3 Urdhra për kontrollues privat lidhur t</w:t>
      </w:r>
      <w:r w:rsidR="00F95539" w:rsidRPr="008C1D0F">
        <w:rPr>
          <w:rFonts w:ascii="Times New Roman" w:hAnsi="Times New Roman"/>
          <w:sz w:val="24"/>
          <w:szCs w:val="24"/>
        </w:rPr>
        <w:t>ë</w:t>
      </w:r>
      <w:r w:rsidRPr="008C1D0F">
        <w:rPr>
          <w:rFonts w:ascii="Times New Roman" w:hAnsi="Times New Roman"/>
          <w:sz w:val="24"/>
          <w:szCs w:val="24"/>
        </w:rPr>
        <w:t xml:space="preserve"> cilat lidhen me  </w:t>
      </w:r>
      <w:r w:rsidR="00F95539" w:rsidRPr="008C1D0F">
        <w:rPr>
          <w:rFonts w:ascii="Times New Roman" w:hAnsi="Times New Roman"/>
          <w:sz w:val="24"/>
          <w:szCs w:val="24"/>
        </w:rPr>
        <w:t xml:space="preserve">ndërprerjen e përpunimit të të dhënave personale apo shkatërrimin e grumbulimit te tyre në mënyrë të paligjshme </w:t>
      </w:r>
    </w:p>
    <w:p w:rsidR="00F95539" w:rsidRPr="008C1D0F" w:rsidRDefault="00F95539" w:rsidP="008C1D0F">
      <w:pPr>
        <w:spacing w:line="276" w:lineRule="auto"/>
        <w:jc w:val="both"/>
        <w:rPr>
          <w:rFonts w:eastAsia="Calibri"/>
        </w:rPr>
      </w:pPr>
    </w:p>
    <w:p w:rsidR="00B23928" w:rsidRPr="008C1D0F" w:rsidRDefault="00B23928" w:rsidP="008C1D0F">
      <w:pPr>
        <w:spacing w:line="276" w:lineRule="auto"/>
        <w:jc w:val="both"/>
        <w:rPr>
          <w:rFonts w:eastAsia="Calibri"/>
        </w:rPr>
      </w:pPr>
      <w:r w:rsidRPr="008C1D0F">
        <w:rPr>
          <w:rFonts w:eastAsia="Calibri"/>
        </w:rPr>
        <w:t>Nëpërmjet rekomandimeve dhe urdhrave është synuar të ndërgjegjësohet çdo kontrollues i të dhënave për të kryer përpunime në mënyrë të drejtë dhe të ligjshme, pa cënuar privatësinë e individit.</w:t>
      </w:r>
    </w:p>
    <w:p w:rsidR="00B23928" w:rsidRPr="008C1D0F" w:rsidRDefault="00B23928" w:rsidP="00B23928">
      <w:pPr>
        <w:spacing w:line="276" w:lineRule="auto"/>
        <w:jc w:val="both"/>
      </w:pPr>
      <w:r w:rsidRPr="008C1D0F">
        <w:t xml:space="preserve">Kontrolluesit janë të detyruar të njoftojnë Zyrën e Komisionerit për përpunimin e të dhënave personale për të cilat ata janë përgjegjës. Në përmbushje të këtij detyrimi kanë njoftuar 65 subjekte kontrolluese. </w:t>
      </w:r>
    </w:p>
    <w:p w:rsidR="00B23928" w:rsidRPr="008C1D0F" w:rsidRDefault="00B23928" w:rsidP="00B23928">
      <w:pPr>
        <w:spacing w:line="276" w:lineRule="auto"/>
        <w:jc w:val="both"/>
      </w:pPr>
      <w:r w:rsidRPr="008C1D0F">
        <w:t xml:space="preserve">Gjithashtu janë shqyrtuar dhe regjistruar deklaratat e 28 kontrolluesve për ndryshim të gjendjes së njoftimit të përpunimit të njoftuar më parë. </w:t>
      </w:r>
    </w:p>
    <w:p w:rsidR="00B23928" w:rsidRPr="008C1D0F" w:rsidRDefault="00B23928" w:rsidP="00B23928">
      <w:pPr>
        <w:spacing w:line="276" w:lineRule="auto"/>
        <w:jc w:val="both"/>
        <w:rPr>
          <w:b/>
        </w:rPr>
      </w:pPr>
      <w:r w:rsidRPr="008C1D0F">
        <w:t xml:space="preserve">Numri i përgjithshëm i njoftimeve të përpunimeve nga kontrolluesit në territorin e Republikës së Shqipërisë, deri tani, ka arritur </w:t>
      </w:r>
      <w:r w:rsidRPr="008C1D0F">
        <w:rPr>
          <w:b/>
        </w:rPr>
        <w:t xml:space="preserve">në 5742. </w:t>
      </w:r>
    </w:p>
    <w:p w:rsidR="00B23928" w:rsidRPr="008C1D0F" w:rsidRDefault="00B23928" w:rsidP="006560A0">
      <w:pPr>
        <w:spacing w:line="276" w:lineRule="auto"/>
        <w:contextualSpacing/>
        <w:jc w:val="both"/>
        <w:rPr>
          <w:b/>
        </w:rPr>
      </w:pPr>
    </w:p>
    <w:p w:rsidR="006560A0" w:rsidRPr="008C1D0F" w:rsidRDefault="005B2398" w:rsidP="006560A0">
      <w:pPr>
        <w:spacing w:line="276" w:lineRule="auto"/>
        <w:contextualSpacing/>
        <w:jc w:val="both"/>
        <w:rPr>
          <w:rFonts w:eastAsia="Batang"/>
          <w:lang w:eastAsia="ko-KR"/>
        </w:rPr>
      </w:pPr>
      <w:r w:rsidRPr="008C1D0F">
        <w:rPr>
          <w:b/>
          <w:color w:val="0D0D0D" w:themeColor="text1" w:themeTint="F2"/>
        </w:rPr>
        <w:t>Nënprodukti</w:t>
      </w:r>
      <w:r w:rsidRPr="008C1D0F">
        <w:rPr>
          <w:b/>
        </w:rPr>
        <w:t xml:space="preserve"> </w:t>
      </w:r>
      <w:r w:rsidR="003E22B5" w:rsidRPr="008C1D0F">
        <w:rPr>
          <w:b/>
        </w:rPr>
        <w:t>C:</w:t>
      </w:r>
      <w:r w:rsidR="00B23928" w:rsidRPr="008C1D0F">
        <w:rPr>
          <w:b/>
        </w:rPr>
        <w:t xml:space="preserve"> </w:t>
      </w:r>
      <w:r w:rsidRPr="008C1D0F">
        <w:rPr>
          <w:b/>
        </w:rPr>
        <w:t>(I</w:t>
      </w:r>
      <w:r w:rsidR="006560A0" w:rsidRPr="008C1D0F">
        <w:rPr>
          <w:b/>
        </w:rPr>
        <w:t>nspektime mbi baz</w:t>
      </w:r>
      <w:r w:rsidR="00B23928" w:rsidRPr="008C1D0F">
        <w:rPr>
          <w:b/>
        </w:rPr>
        <w:t>ë</w:t>
      </w:r>
      <w:r w:rsidR="006560A0" w:rsidRPr="008C1D0F">
        <w:rPr>
          <w:b/>
        </w:rPr>
        <w:t xml:space="preserve"> ankese dhe kryesisht</w:t>
      </w:r>
      <w:r w:rsidR="00F05DE6">
        <w:rPr>
          <w:b/>
        </w:rPr>
        <w:t xml:space="preserve"> +- 70</w:t>
      </w:r>
      <w:r w:rsidRPr="008C1D0F">
        <w:rPr>
          <w:b/>
        </w:rPr>
        <w:t xml:space="preserve">) </w:t>
      </w:r>
      <w:r w:rsidR="006560A0" w:rsidRPr="008C1D0F">
        <w:t>pa përfshirë veprime t</w:t>
      </w:r>
      <w:r w:rsidR="003E22B5" w:rsidRPr="008C1D0F">
        <w:t>ë</w:t>
      </w:r>
      <w:r w:rsidR="006560A0" w:rsidRPr="008C1D0F">
        <w:t xml:space="preserve"> tjera vendime, rekomandime, sanksione, urdhërime</w:t>
      </w:r>
      <w:r w:rsidRPr="008C1D0F">
        <w:t xml:space="preserve"> është realizua</w:t>
      </w:r>
      <w:r w:rsidR="00803AB1">
        <w:t xml:space="preserve">r nga ana sasiore 60 mbikqyrje </w:t>
      </w:r>
      <w:r w:rsidRPr="008C1D0F">
        <w:t xml:space="preserve">ose </w:t>
      </w:r>
      <w:r w:rsidR="00B23928" w:rsidRPr="008C1D0F">
        <w:t xml:space="preserve">86 </w:t>
      </w:r>
      <w:r w:rsidR="006560A0" w:rsidRPr="008C1D0F">
        <w:t>%, krahasuar me pritshmëritë</w:t>
      </w:r>
      <w:r w:rsidR="002413A7" w:rsidRPr="008C1D0F">
        <w:t xml:space="preserve">, </w:t>
      </w:r>
      <w:r w:rsidR="00FB16FD" w:rsidRPr="008C1D0F">
        <w:t xml:space="preserve">ku për shkak të situatës </w:t>
      </w:r>
      <w:r w:rsidR="002413A7" w:rsidRPr="008C1D0F">
        <w:t>së krijuar nga covid-19</w:t>
      </w:r>
      <w:r w:rsidR="00FB16FD" w:rsidRPr="008C1D0F">
        <w:t xml:space="preserve">, janë </w:t>
      </w:r>
      <w:r w:rsidR="003E22B5" w:rsidRPr="008C1D0F">
        <w:t>ndër</w:t>
      </w:r>
      <w:r w:rsidR="00FB16FD" w:rsidRPr="008C1D0F">
        <w:t xml:space="preserve">marrë iniciativa të tjera për zbatimin e legjislacionit në fushën e mbrojtjes së të dhënave personale, duke kufizuar inspektimet në terren. </w:t>
      </w:r>
    </w:p>
    <w:p w:rsidR="006560A0" w:rsidRPr="008C1D0F" w:rsidRDefault="006560A0" w:rsidP="006560A0">
      <w:pPr>
        <w:spacing w:line="276" w:lineRule="auto"/>
        <w:jc w:val="both"/>
      </w:pPr>
    </w:p>
    <w:p w:rsidR="006560A0" w:rsidRPr="008C1D0F" w:rsidRDefault="00803AB1" w:rsidP="006560A0">
      <w:pPr>
        <w:jc w:val="both"/>
        <w:rPr>
          <w:b/>
          <w:color w:val="0D0D0D" w:themeColor="text1" w:themeTint="F2"/>
        </w:rPr>
      </w:pPr>
      <w:r>
        <w:rPr>
          <w:b/>
          <w:color w:val="0D0D0D" w:themeColor="text1" w:themeTint="F2"/>
        </w:rPr>
        <w:t xml:space="preserve">-Nënprodukti </w:t>
      </w:r>
      <w:r w:rsidR="006560A0" w:rsidRPr="008C1D0F">
        <w:rPr>
          <w:b/>
          <w:color w:val="0D0D0D" w:themeColor="text1" w:themeTint="F2"/>
        </w:rPr>
        <w:t xml:space="preserve">D. Ankesa të trajtuara ( nr.rreth +- </w:t>
      </w:r>
      <w:r w:rsidR="002413A7" w:rsidRPr="008C1D0F">
        <w:rPr>
          <w:b/>
          <w:color w:val="0D0D0D" w:themeColor="text1" w:themeTint="F2"/>
        </w:rPr>
        <w:t>150, i ndryshuar</w:t>
      </w:r>
      <w:r w:rsidR="006560A0" w:rsidRPr="008C1D0F">
        <w:rPr>
          <w:b/>
          <w:color w:val="0D0D0D" w:themeColor="text1" w:themeTint="F2"/>
        </w:rPr>
        <w:t xml:space="preserve"> ) </w:t>
      </w:r>
    </w:p>
    <w:p w:rsidR="006560A0" w:rsidRPr="008C1D0F" w:rsidRDefault="006560A0" w:rsidP="006560A0">
      <w:pPr>
        <w:jc w:val="both"/>
        <w:rPr>
          <w:b/>
        </w:rPr>
      </w:pPr>
    </w:p>
    <w:p w:rsidR="00A35B40" w:rsidRPr="008C1D0F" w:rsidRDefault="00A37590" w:rsidP="00A37590">
      <w:pPr>
        <w:spacing w:line="276" w:lineRule="auto"/>
        <w:jc w:val="both"/>
      </w:pPr>
      <w:r w:rsidRPr="008C1D0F">
        <w:rPr>
          <w:rFonts w:eastAsia="Calibri"/>
        </w:rPr>
        <w:t xml:space="preserve">Gjatë vitit </w:t>
      </w:r>
      <w:r w:rsidRPr="008C1D0F">
        <w:t xml:space="preserve">2020, Drejtoria për Mbrojtjen e të Dhënave Personale, shqyrtoi në total </w:t>
      </w:r>
      <w:r w:rsidRPr="00803AB1">
        <w:rPr>
          <w:b/>
        </w:rPr>
        <w:t>3</w:t>
      </w:r>
      <w:r w:rsidRPr="00F05DE6">
        <w:rPr>
          <w:b/>
        </w:rPr>
        <w:t>08 ankesa.</w:t>
      </w:r>
      <w:r w:rsidRPr="008C1D0F">
        <w:t xml:space="preserve"> Në trajtimin e ankesave në lidhje me mbrojtjen e të dhënave personale, Zyra e Komisionerit ka si synim kryesor mbrojtjen e interesave të subjekteve të të dhënave, në përputhje me kompetencat dhe procedurat e parashikuara në ligj. </w:t>
      </w:r>
      <w:r w:rsidR="00A35B40" w:rsidRPr="008C1D0F">
        <w:rPr>
          <w:bCs/>
        </w:rPr>
        <w:t>Për zgjidhjen dhe trajtimin e ankesave janë ndjekur hapa procedurale, si kontaktimi i vazhdueshëm me subj</w:t>
      </w:r>
      <w:r w:rsidR="00FB16FD" w:rsidRPr="008C1D0F">
        <w:rPr>
          <w:bCs/>
        </w:rPr>
        <w:t xml:space="preserve">ektin mbi paraqitjen e provave, </w:t>
      </w:r>
      <w:r w:rsidR="00A35B40" w:rsidRPr="008C1D0F">
        <w:rPr>
          <w:bCs/>
        </w:rPr>
        <w:t>kërkesë informacioni paraprak nga kontrolluesi deri në zgjidhjen përfundimtare të tyre.</w:t>
      </w:r>
    </w:p>
    <w:p w:rsidR="006560A0" w:rsidRPr="008C1D0F" w:rsidRDefault="006560A0" w:rsidP="006560A0">
      <w:pPr>
        <w:spacing w:line="276" w:lineRule="auto"/>
        <w:jc w:val="both"/>
      </w:pPr>
      <w:r w:rsidRPr="008C1D0F">
        <w:t>Zyra e Komisionerit ka patur në fokus të veprimtarisë trajtimin e ankesave dhe hetimet administrative në fusha dhe sektorë të rëndësishëm për kategorinë dhe sasinë e të dhënave personale që përpunojnë apo ndikimin</w:t>
      </w:r>
      <w:r w:rsidR="0082582B" w:rsidRPr="008C1D0F">
        <w:t xml:space="preserve"> </w:t>
      </w:r>
      <w:r w:rsidRPr="008C1D0F">
        <w:t xml:space="preserve">që kanë në privatësinë e individit </w:t>
      </w:r>
    </w:p>
    <w:p w:rsidR="006560A0" w:rsidRPr="008C1D0F" w:rsidRDefault="006560A0" w:rsidP="006560A0">
      <w:pPr>
        <w:spacing w:after="200" w:line="276" w:lineRule="auto"/>
        <w:jc w:val="both"/>
        <w:rPr>
          <w:i/>
        </w:rPr>
      </w:pPr>
      <w:r w:rsidRPr="008C1D0F">
        <w:t>Zyra e Komisionerit ka ndërhyrë në ato raste kur ankesat kanë qenë brenda kompetencave të ligjit</w:t>
      </w:r>
      <w:r w:rsidRPr="008C1D0F">
        <w:rPr>
          <w:i/>
        </w:rPr>
        <w:t xml:space="preserve">. </w:t>
      </w:r>
    </w:p>
    <w:p w:rsidR="006560A0" w:rsidRPr="008C1D0F" w:rsidRDefault="005B2398" w:rsidP="006560A0">
      <w:pPr>
        <w:spacing w:line="276" w:lineRule="auto"/>
        <w:jc w:val="both"/>
      </w:pPr>
      <w:r w:rsidRPr="008C1D0F">
        <w:rPr>
          <w:b/>
        </w:rPr>
        <w:t>N</w:t>
      </w:r>
      <w:r w:rsidR="00F95539" w:rsidRPr="008C1D0F">
        <w:rPr>
          <w:b/>
        </w:rPr>
        <w:t>ë</w:t>
      </w:r>
      <w:r w:rsidRPr="008C1D0F">
        <w:rPr>
          <w:b/>
        </w:rPr>
        <w:t>n</w:t>
      </w:r>
      <w:r w:rsidR="00F95539" w:rsidRPr="008C1D0F">
        <w:rPr>
          <w:b/>
        </w:rPr>
        <w:t>p</w:t>
      </w:r>
      <w:r w:rsidR="006560A0" w:rsidRPr="008C1D0F">
        <w:rPr>
          <w:b/>
        </w:rPr>
        <w:t>rodukti</w:t>
      </w:r>
      <w:r w:rsidR="00803AB1">
        <w:rPr>
          <w:b/>
        </w:rPr>
        <w:t xml:space="preserve"> D</w:t>
      </w:r>
      <w:r w:rsidR="003E22B5" w:rsidRPr="008C1D0F">
        <w:rPr>
          <w:b/>
        </w:rPr>
        <w:t>:</w:t>
      </w:r>
      <w:r w:rsidRPr="008C1D0F">
        <w:rPr>
          <w:b/>
        </w:rPr>
        <w:t>A</w:t>
      </w:r>
      <w:r w:rsidR="006560A0" w:rsidRPr="008C1D0F">
        <w:rPr>
          <w:b/>
        </w:rPr>
        <w:t>nkesa</w:t>
      </w:r>
      <w:r w:rsidRPr="008C1D0F">
        <w:rPr>
          <w:b/>
        </w:rPr>
        <w:t xml:space="preserve"> të trajtuara</w:t>
      </w:r>
      <w:r w:rsidR="00F95539" w:rsidRPr="008C1D0F">
        <w:rPr>
          <w:b/>
        </w:rPr>
        <w:t>,</w:t>
      </w:r>
      <w:r w:rsidR="006560A0" w:rsidRPr="008C1D0F">
        <w:rPr>
          <w:b/>
        </w:rPr>
        <w:t xml:space="preserve"> </w:t>
      </w:r>
      <w:r w:rsidR="006560A0" w:rsidRPr="008C1D0F">
        <w:t>pa</w:t>
      </w:r>
      <w:r w:rsidRPr="008C1D0F">
        <w:t xml:space="preserve"> përfshirë vendime, rekomandime </w:t>
      </w:r>
      <w:r w:rsidR="00F95539" w:rsidRPr="008C1D0F">
        <w:t>ë</w:t>
      </w:r>
      <w:r w:rsidRPr="008C1D0F">
        <w:t>sht</w:t>
      </w:r>
      <w:r w:rsidR="00F95539" w:rsidRPr="008C1D0F">
        <w:t xml:space="preserve">ë </w:t>
      </w:r>
      <w:r w:rsidR="00803AB1">
        <w:t>realizuar nga ana sasiore</w:t>
      </w:r>
      <w:r w:rsidRPr="008C1D0F">
        <w:t xml:space="preserve"> 308 ankesa. </w:t>
      </w:r>
      <w:r w:rsidR="006560A0" w:rsidRPr="008C1D0F">
        <w:t xml:space="preserve">Nga sa shihet </w:t>
      </w:r>
      <w:r w:rsidR="00BA45FD" w:rsidRPr="008C1D0F">
        <w:t xml:space="preserve">janë </w:t>
      </w:r>
      <w:r w:rsidR="006560A0" w:rsidRPr="008C1D0F">
        <w:t xml:space="preserve">realizuar </w:t>
      </w:r>
      <w:r w:rsidR="00FB16FD" w:rsidRPr="008C1D0F">
        <w:t>100</w:t>
      </w:r>
      <w:r w:rsidR="00373F7F" w:rsidRPr="008C1D0F">
        <w:t xml:space="preserve">% </w:t>
      </w:r>
      <w:r w:rsidR="00BA45FD" w:rsidRPr="008C1D0F">
        <w:t>pritshmëritë,</w:t>
      </w:r>
      <w:r w:rsidR="006560A0" w:rsidRPr="008C1D0F">
        <w:t xml:space="preserve"> </w:t>
      </w:r>
      <w:r w:rsidR="00BA45FD" w:rsidRPr="008C1D0F">
        <w:t xml:space="preserve">i </w:t>
      </w:r>
      <w:r w:rsidR="006560A0" w:rsidRPr="008C1D0F">
        <w:t>cili tregon ndërgjegjësimin e subjekteve si dh</w:t>
      </w:r>
      <w:r w:rsidR="003E22B5" w:rsidRPr="008C1D0F">
        <w:t>e vënien në vend të së drejtës/</w:t>
      </w:r>
      <w:r w:rsidR="006560A0" w:rsidRPr="008C1D0F">
        <w:t xml:space="preserve">cënimit të privatësisë. </w:t>
      </w:r>
    </w:p>
    <w:p w:rsidR="006560A0" w:rsidRPr="008C1D0F" w:rsidRDefault="006560A0" w:rsidP="008C1D0F">
      <w:pPr>
        <w:numPr>
          <w:ilvl w:val="0"/>
          <w:numId w:val="1"/>
        </w:numPr>
        <w:spacing w:line="276" w:lineRule="auto"/>
        <w:jc w:val="both"/>
        <w:rPr>
          <w:b/>
        </w:rPr>
      </w:pPr>
      <w:r w:rsidRPr="008C1D0F">
        <w:rPr>
          <w:b/>
        </w:rPr>
        <w:t xml:space="preserve">Aktivitetet të tjera mbështetëse. </w:t>
      </w:r>
    </w:p>
    <w:p w:rsidR="00186993" w:rsidRPr="008C1D0F" w:rsidRDefault="00186993" w:rsidP="00186993">
      <w:pPr>
        <w:pStyle w:val="NormalWeb"/>
        <w:shd w:val="clear" w:color="auto" w:fill="FFFFFF"/>
        <w:spacing w:before="0" w:beforeAutospacing="0" w:after="120" w:afterAutospacing="0" w:line="276" w:lineRule="auto"/>
        <w:jc w:val="both"/>
        <w:rPr>
          <w:b/>
          <w:color w:val="000000"/>
          <w:lang w:val="sq-AL"/>
        </w:rPr>
      </w:pPr>
      <w:r w:rsidRPr="008C1D0F">
        <w:rPr>
          <w:rFonts w:eastAsia="Times New Roman"/>
          <w:lang w:val="sq-AL"/>
        </w:rPr>
        <w:t xml:space="preserve">Në mënyrë proaktive, Zyra e Komisionerit është angazhuar në dhënien e orientimeve lidhur me përpunimin e drejtë dhe të ligjshëm të të dhënave personale në situatën e shkaktuar nga COVID-19. </w:t>
      </w:r>
      <w:proofErr w:type="spellStart"/>
      <w:r w:rsidRPr="008C1D0F">
        <w:rPr>
          <w:rFonts w:eastAsia="Times New Roman"/>
        </w:rPr>
        <w:t>Në</w:t>
      </w:r>
      <w:proofErr w:type="spellEnd"/>
      <w:r w:rsidRPr="008C1D0F">
        <w:rPr>
          <w:rFonts w:eastAsia="Times New Roman"/>
        </w:rPr>
        <w:t xml:space="preserve"> </w:t>
      </w:r>
      <w:proofErr w:type="spellStart"/>
      <w:r w:rsidRPr="008C1D0F">
        <w:rPr>
          <w:rFonts w:eastAsia="Times New Roman"/>
        </w:rPr>
        <w:t>këtë</w:t>
      </w:r>
      <w:proofErr w:type="spellEnd"/>
      <w:r w:rsidRPr="008C1D0F">
        <w:rPr>
          <w:rFonts w:eastAsia="Times New Roman"/>
        </w:rPr>
        <w:t xml:space="preserve"> </w:t>
      </w:r>
      <w:proofErr w:type="spellStart"/>
      <w:r w:rsidRPr="008C1D0F">
        <w:rPr>
          <w:rFonts w:eastAsia="Times New Roman"/>
        </w:rPr>
        <w:t>kuadër</w:t>
      </w:r>
      <w:proofErr w:type="spellEnd"/>
      <w:r w:rsidRPr="008C1D0F">
        <w:rPr>
          <w:rFonts w:eastAsia="Times New Roman"/>
        </w:rPr>
        <w:t xml:space="preserve">, </w:t>
      </w:r>
      <w:proofErr w:type="spellStart"/>
      <w:r w:rsidRPr="008C1D0F">
        <w:rPr>
          <w:rFonts w:eastAsia="Times New Roman"/>
        </w:rPr>
        <w:t>janë</w:t>
      </w:r>
      <w:proofErr w:type="spellEnd"/>
      <w:r w:rsidR="003E22B5" w:rsidRPr="008C1D0F">
        <w:rPr>
          <w:rFonts w:eastAsia="Times New Roman"/>
        </w:rPr>
        <w:t xml:space="preserve"> </w:t>
      </w:r>
      <w:proofErr w:type="spellStart"/>
      <w:r w:rsidRPr="008C1D0F">
        <w:rPr>
          <w:rFonts w:eastAsia="Times New Roman"/>
        </w:rPr>
        <w:t>publikuar</w:t>
      </w:r>
      <w:proofErr w:type="spellEnd"/>
      <w:r w:rsidRPr="008C1D0F">
        <w:rPr>
          <w:rFonts w:eastAsia="Times New Roman"/>
        </w:rPr>
        <w:t xml:space="preserve"> 3 (</w:t>
      </w:r>
      <w:proofErr w:type="spellStart"/>
      <w:r w:rsidRPr="008C1D0F">
        <w:rPr>
          <w:rFonts w:eastAsia="Times New Roman"/>
        </w:rPr>
        <w:t>tre</w:t>
      </w:r>
      <w:proofErr w:type="spellEnd"/>
      <w:r w:rsidRPr="008C1D0F">
        <w:rPr>
          <w:rFonts w:eastAsia="Times New Roman"/>
        </w:rPr>
        <w:t xml:space="preserve">) </w:t>
      </w:r>
      <w:proofErr w:type="spellStart"/>
      <w:r w:rsidRPr="008C1D0F">
        <w:rPr>
          <w:rFonts w:eastAsia="Times New Roman"/>
        </w:rPr>
        <w:t>udhëzues</w:t>
      </w:r>
      <w:proofErr w:type="spellEnd"/>
      <w:r w:rsidRPr="008C1D0F">
        <w:rPr>
          <w:rFonts w:eastAsia="Times New Roman"/>
        </w:rPr>
        <w:t xml:space="preserve">, </w:t>
      </w:r>
      <w:proofErr w:type="spellStart"/>
      <w:r w:rsidRPr="008C1D0F">
        <w:rPr>
          <w:rFonts w:eastAsia="Times New Roman"/>
        </w:rPr>
        <w:t>si</w:t>
      </w:r>
      <w:proofErr w:type="spellEnd"/>
      <w:r w:rsidR="003E22B5" w:rsidRPr="008C1D0F">
        <w:rPr>
          <w:rFonts w:eastAsia="Times New Roman"/>
        </w:rPr>
        <w:t xml:space="preserve"> </w:t>
      </w:r>
      <w:proofErr w:type="spellStart"/>
      <w:r w:rsidRPr="008C1D0F">
        <w:rPr>
          <w:rFonts w:eastAsia="Times New Roman"/>
        </w:rPr>
        <w:t>vijon</w:t>
      </w:r>
      <w:proofErr w:type="spellEnd"/>
      <w:r w:rsidRPr="008C1D0F">
        <w:rPr>
          <w:rFonts w:eastAsia="Times New Roman"/>
        </w:rPr>
        <w:t>:</w:t>
      </w:r>
    </w:p>
    <w:p w:rsidR="00186993" w:rsidRPr="008C1D0F" w:rsidRDefault="00186993" w:rsidP="0082582B">
      <w:pPr>
        <w:pStyle w:val="ListParagraph"/>
        <w:numPr>
          <w:ilvl w:val="0"/>
          <w:numId w:val="10"/>
        </w:numPr>
        <w:shd w:val="clear" w:color="auto" w:fill="FFFFFF"/>
        <w:spacing w:after="120"/>
        <w:contextualSpacing w:val="0"/>
        <w:jc w:val="both"/>
        <w:textAlignment w:val="baseline"/>
        <w:outlineLvl w:val="0"/>
        <w:rPr>
          <w:rFonts w:ascii="Times New Roman" w:eastAsia="Times New Roman" w:hAnsi="Times New Roman"/>
          <w:sz w:val="24"/>
          <w:szCs w:val="24"/>
        </w:rPr>
      </w:pPr>
      <w:r w:rsidRPr="008C1D0F">
        <w:rPr>
          <w:rFonts w:ascii="Times New Roman" w:eastAsia="Times New Roman" w:hAnsi="Times New Roman"/>
          <w:sz w:val="24"/>
          <w:szCs w:val="24"/>
        </w:rPr>
        <w:t>Udhëzues për mbrojtjen e të dhënave personale në kuadër të masave kundër COVID-19, datë 20.03.2020;</w:t>
      </w:r>
    </w:p>
    <w:p w:rsidR="00186993" w:rsidRPr="008C1D0F" w:rsidRDefault="00186993" w:rsidP="0082582B">
      <w:pPr>
        <w:pStyle w:val="ListParagraph"/>
        <w:numPr>
          <w:ilvl w:val="0"/>
          <w:numId w:val="10"/>
        </w:numPr>
        <w:shd w:val="clear" w:color="auto" w:fill="FFFFFF"/>
        <w:spacing w:after="120"/>
        <w:contextualSpacing w:val="0"/>
        <w:jc w:val="both"/>
        <w:textAlignment w:val="baseline"/>
        <w:outlineLvl w:val="0"/>
        <w:rPr>
          <w:rFonts w:ascii="Times New Roman" w:eastAsia="Times New Roman" w:hAnsi="Times New Roman"/>
          <w:sz w:val="24"/>
          <w:szCs w:val="24"/>
        </w:rPr>
      </w:pPr>
      <w:r w:rsidRPr="008C1D0F">
        <w:rPr>
          <w:rFonts w:ascii="Times New Roman" w:eastAsia="Times New Roman" w:hAnsi="Times New Roman"/>
          <w:sz w:val="24"/>
          <w:szCs w:val="24"/>
        </w:rPr>
        <w:t>Udhëzues për përpunimin e të dhënave personale në sektorë specifikë në kuadër të masave kundër COVID-19, datë 06.04.2020;</w:t>
      </w:r>
    </w:p>
    <w:p w:rsidR="006560A0" w:rsidRPr="008C1D0F" w:rsidRDefault="00186993" w:rsidP="0082582B">
      <w:pPr>
        <w:pStyle w:val="ListParagraph"/>
        <w:numPr>
          <w:ilvl w:val="0"/>
          <w:numId w:val="10"/>
        </w:numPr>
        <w:shd w:val="clear" w:color="auto" w:fill="FFFFFF"/>
        <w:spacing w:after="120"/>
        <w:contextualSpacing w:val="0"/>
        <w:jc w:val="both"/>
        <w:textAlignment w:val="baseline"/>
        <w:outlineLvl w:val="0"/>
        <w:rPr>
          <w:rFonts w:ascii="Times New Roman" w:eastAsia="Times New Roman" w:hAnsi="Times New Roman"/>
          <w:sz w:val="24"/>
          <w:szCs w:val="24"/>
        </w:rPr>
      </w:pPr>
      <w:r w:rsidRPr="008C1D0F">
        <w:rPr>
          <w:rFonts w:ascii="Times New Roman" w:eastAsia="Times New Roman" w:hAnsi="Times New Roman"/>
          <w:sz w:val="24"/>
          <w:szCs w:val="24"/>
        </w:rPr>
        <w:t>Udhëzues për përpunimin e të dhënave personale në kuadër të Protokolleve të Masave Higjeno-Sanitare COVID-19, datë 04.05.2020;</w:t>
      </w:r>
    </w:p>
    <w:p w:rsidR="00905952" w:rsidRPr="008C1D0F" w:rsidRDefault="00905952" w:rsidP="0082582B">
      <w:pPr>
        <w:numPr>
          <w:ilvl w:val="0"/>
          <w:numId w:val="10"/>
        </w:numPr>
        <w:shd w:val="clear" w:color="auto" w:fill="FFFFFF"/>
        <w:spacing w:after="120" w:line="276" w:lineRule="auto"/>
        <w:jc w:val="both"/>
        <w:textAlignment w:val="baseline"/>
        <w:outlineLvl w:val="0"/>
        <w:rPr>
          <w:kern w:val="36"/>
        </w:rPr>
      </w:pPr>
      <w:r w:rsidRPr="008C1D0F">
        <w:t>Në kuadër të bashkëpunimit ndërinstitucional, Zyra e Komisionerit ka</w:t>
      </w:r>
      <w:r w:rsidRPr="008C1D0F">
        <w:rPr>
          <w:bCs/>
        </w:rPr>
        <w:t xml:space="preserve"> dhënë </w:t>
      </w:r>
      <w:r w:rsidRPr="008C1D0F">
        <w:rPr>
          <w:b/>
          <w:bCs/>
        </w:rPr>
        <w:t>20</w:t>
      </w:r>
      <w:r w:rsidRPr="008C1D0F">
        <w:rPr>
          <w:bCs/>
        </w:rPr>
        <w:t xml:space="preserve"> opinione ligjore si dhe janë kthyer përgjigje për kontrollues publik dhe privat.</w:t>
      </w:r>
    </w:p>
    <w:p w:rsidR="007D66B3" w:rsidRPr="008C1D0F" w:rsidRDefault="006560A0" w:rsidP="006560A0">
      <w:pPr>
        <w:pStyle w:val="NoSpacing"/>
        <w:spacing w:line="288" w:lineRule="auto"/>
        <w:jc w:val="both"/>
        <w:rPr>
          <w:rFonts w:ascii="Times New Roman" w:hAnsi="Times New Roman"/>
          <w:color w:val="0D0D0D" w:themeColor="text1" w:themeTint="F2"/>
          <w:sz w:val="24"/>
          <w:szCs w:val="24"/>
          <w:shd w:val="clear" w:color="auto" w:fill="FFFFFF"/>
        </w:rPr>
      </w:pPr>
      <w:r w:rsidRPr="008C1D0F">
        <w:rPr>
          <w:rFonts w:ascii="Times New Roman" w:hAnsi="Times New Roman"/>
          <w:sz w:val="24"/>
          <w:szCs w:val="24"/>
        </w:rPr>
        <w:t>-</w:t>
      </w:r>
      <w:r w:rsidR="007D66B3" w:rsidRPr="008C1D0F">
        <w:rPr>
          <w:rFonts w:ascii="Times New Roman" w:hAnsi="Times New Roman"/>
          <w:color w:val="0D0D0D" w:themeColor="text1" w:themeTint="F2"/>
          <w:sz w:val="24"/>
          <w:szCs w:val="24"/>
          <w:shd w:val="clear" w:color="auto" w:fill="FFFFFF"/>
        </w:rPr>
        <w:t>Autoritetet kombëtare të vendeve anëtare të Bashkimit Evropian dhe të Këshillit të Evropës, më 28 Janar zhvillojnë aktivitete të ndryshme me karakter ndërgjegjësues për qytetarët. Në botë, kjo ditë njihet si Dita e Privatësisë (Privacy Day)</w:t>
      </w:r>
    </w:p>
    <w:p w:rsidR="007D66B3" w:rsidRPr="008C1D0F" w:rsidRDefault="007D66B3" w:rsidP="006560A0">
      <w:pPr>
        <w:pStyle w:val="NoSpacing"/>
        <w:spacing w:line="288" w:lineRule="auto"/>
        <w:jc w:val="both"/>
        <w:rPr>
          <w:rFonts w:ascii="Times New Roman" w:hAnsi="Times New Roman"/>
          <w:color w:val="0D0D0D" w:themeColor="text1" w:themeTint="F2"/>
          <w:sz w:val="24"/>
          <w:szCs w:val="24"/>
          <w:shd w:val="clear" w:color="auto" w:fill="FFFFFF"/>
        </w:rPr>
      </w:pPr>
    </w:p>
    <w:p w:rsidR="007D66B3" w:rsidRPr="008C1D0F" w:rsidRDefault="007D66B3" w:rsidP="00A80E76">
      <w:pPr>
        <w:pStyle w:val="NoSpacing"/>
        <w:spacing w:line="276" w:lineRule="auto"/>
        <w:jc w:val="both"/>
        <w:rPr>
          <w:rFonts w:ascii="Times New Roman" w:hAnsi="Times New Roman"/>
          <w:color w:val="0D0D0D" w:themeColor="text1" w:themeTint="F2"/>
          <w:sz w:val="24"/>
          <w:szCs w:val="24"/>
        </w:rPr>
      </w:pPr>
      <w:r w:rsidRPr="008C1D0F">
        <w:rPr>
          <w:rFonts w:ascii="Times New Roman" w:hAnsi="Times New Roman"/>
          <w:color w:val="0D0D0D" w:themeColor="text1" w:themeTint="F2"/>
          <w:sz w:val="24"/>
          <w:szCs w:val="24"/>
          <w:shd w:val="clear" w:color="auto" w:fill="FFFFFF"/>
        </w:rPr>
        <w:t>Në Ditën e Mbrojtjes së të Dhënave Personale,</w:t>
      </w:r>
      <w:r w:rsidRPr="008C1D0F">
        <w:rPr>
          <w:rFonts w:ascii="Times New Roman" w:hAnsi="Times New Roman"/>
          <w:color w:val="0D0D0D" w:themeColor="text1" w:themeTint="F2"/>
          <w:sz w:val="24"/>
          <w:szCs w:val="24"/>
        </w:rPr>
        <w:t xml:space="preserve"> edhe </w:t>
      </w:r>
      <w:r w:rsidRPr="008C1D0F">
        <w:rPr>
          <w:rFonts w:ascii="Times New Roman" w:hAnsi="Times New Roman"/>
          <w:color w:val="0D0D0D" w:themeColor="text1" w:themeTint="F2"/>
          <w:sz w:val="24"/>
          <w:szCs w:val="24"/>
          <w:shd w:val="clear" w:color="auto" w:fill="FFFFFF"/>
        </w:rPr>
        <w:t>Zyra e Komisionerit për të Drejtën e Informimit dhe Mbrojtjen e të Dhënave Personale, në bashkëpunim me Shkollën e Mesme Profesionale TIK “Hermann Gmeiner”, organizuan konkursin me temë “Të rinjtë dhe privatësia”.</w:t>
      </w:r>
    </w:p>
    <w:p w:rsidR="006560A0" w:rsidRPr="008C1D0F" w:rsidRDefault="006560A0" w:rsidP="006560A0">
      <w:pPr>
        <w:spacing w:line="276" w:lineRule="auto"/>
        <w:jc w:val="both"/>
      </w:pPr>
    </w:p>
    <w:p w:rsidR="00F95539" w:rsidRPr="008C1D0F" w:rsidRDefault="006560A0" w:rsidP="00803AB1">
      <w:pPr>
        <w:spacing w:line="276" w:lineRule="auto"/>
        <w:jc w:val="both"/>
        <w:rPr>
          <w:color w:val="0D0D0D"/>
        </w:rPr>
      </w:pPr>
      <w:r w:rsidRPr="008C1D0F">
        <w:rPr>
          <w:color w:val="0D0D0D"/>
        </w:rPr>
        <w:t xml:space="preserve">Një tjetër aktivitet që mbështet të dy shtyllat për garantimin e dy të drejtave </w:t>
      </w:r>
      <w:r w:rsidRPr="008C1D0F">
        <w:rPr>
          <w:b/>
          <w:i/>
          <w:color w:val="0D0D0D"/>
        </w:rPr>
        <w:t xml:space="preserve">është </w:t>
      </w:r>
      <w:r w:rsidRPr="008C1D0F">
        <w:rPr>
          <w:b/>
          <w:color w:val="0D0D0D"/>
        </w:rPr>
        <w:t>Shërbimi ligjor</w:t>
      </w:r>
      <w:r w:rsidRPr="008C1D0F">
        <w:rPr>
          <w:b/>
          <w:i/>
          <w:color w:val="0D0D0D"/>
        </w:rPr>
        <w:t>,</w:t>
      </w:r>
      <w:r w:rsidRPr="008C1D0F">
        <w:rPr>
          <w:color w:val="0D0D0D"/>
        </w:rPr>
        <w:t xml:space="preserve"> edhe pse në vitet e kaluara janë trajtuar si produkt më vete.</w:t>
      </w:r>
    </w:p>
    <w:p w:rsidR="006560A0" w:rsidRPr="008C1D0F" w:rsidRDefault="006560A0" w:rsidP="006560A0">
      <w:pPr>
        <w:spacing w:line="276" w:lineRule="auto"/>
        <w:jc w:val="both"/>
        <w:rPr>
          <w:color w:val="0D0D0D" w:themeColor="text1" w:themeTint="F2"/>
        </w:rPr>
      </w:pPr>
      <w:r w:rsidRPr="008C1D0F">
        <w:rPr>
          <w:color w:val="0D0D0D"/>
        </w:rPr>
        <w:t xml:space="preserve"> </w:t>
      </w:r>
    </w:p>
    <w:p w:rsidR="00BA45FD" w:rsidRPr="008C1D0F" w:rsidRDefault="00F95539" w:rsidP="006560A0">
      <w:pPr>
        <w:pStyle w:val="ListParagraph"/>
        <w:numPr>
          <w:ilvl w:val="0"/>
          <w:numId w:val="1"/>
        </w:numPr>
        <w:spacing w:after="120"/>
        <w:jc w:val="both"/>
        <w:rPr>
          <w:rFonts w:ascii="Times New Roman" w:eastAsiaTheme="majorEastAsia" w:hAnsi="Times New Roman"/>
          <w:b/>
          <w:color w:val="0D0D0D" w:themeColor="text1" w:themeTint="F2"/>
          <w:sz w:val="24"/>
          <w:szCs w:val="24"/>
        </w:rPr>
      </w:pPr>
      <w:r w:rsidRPr="008C1D0F">
        <w:rPr>
          <w:rFonts w:ascii="Times New Roman" w:eastAsiaTheme="majorEastAsia" w:hAnsi="Times New Roman"/>
          <w:b/>
          <w:color w:val="0D0D0D" w:themeColor="text1" w:themeTint="F2"/>
          <w:sz w:val="24"/>
          <w:szCs w:val="24"/>
        </w:rPr>
        <w:t>Hartimi i akteve rregullatore</w:t>
      </w:r>
    </w:p>
    <w:p w:rsidR="00F95539" w:rsidRPr="008C1D0F" w:rsidRDefault="006560A0" w:rsidP="00F87A2A">
      <w:pPr>
        <w:spacing w:line="276" w:lineRule="auto"/>
        <w:ind w:left="-90"/>
        <w:jc w:val="both"/>
        <w:rPr>
          <w:color w:val="000000"/>
        </w:rPr>
      </w:pPr>
      <w:r w:rsidRPr="008C1D0F">
        <w:t xml:space="preserve">Në drejtim të zbatimit të detyrimeve që burojnë nga akte ligjore apo nënligjore të tjera </w:t>
      </w:r>
      <w:r w:rsidR="00803AB1">
        <w:rPr>
          <w:lang w:val="it-IT"/>
        </w:rPr>
        <w:t>gjatë</w:t>
      </w:r>
      <w:r w:rsidR="00F95539" w:rsidRPr="008C1D0F">
        <w:rPr>
          <w:lang w:val="it-IT"/>
        </w:rPr>
        <w:t xml:space="preserve"> vitit </w:t>
      </w:r>
      <w:r w:rsidR="00916E6D" w:rsidRPr="008C1D0F">
        <w:rPr>
          <w:lang w:val="it-IT"/>
        </w:rPr>
        <w:t xml:space="preserve">2020, </w:t>
      </w:r>
      <w:r w:rsidR="00F95539" w:rsidRPr="008C1D0F">
        <w:t xml:space="preserve">Zyra e Komisionerit është angazhuar intensivisht në përafrimin e legjislacionit në fuqi mbi bazën e të cilit ushtron veprimtarinë e saj, me </w:t>
      </w:r>
      <w:r w:rsidR="00F95539" w:rsidRPr="008C1D0F">
        <w:rPr>
          <w:i/>
        </w:rPr>
        <w:t>acquis communautaire</w:t>
      </w:r>
      <w:r w:rsidR="00F95539" w:rsidRPr="008C1D0F">
        <w:t xml:space="preserve"> të BE në fushat përkatëse dhe akteve të tjera ndërkombëtare me fuqi detyruese. Në këtë kuadër, u hartuan dhe miratuan disa akte ligjore dhe nënligjore të cilat plotësojnë kuadrin ligjor në fushën e mbrojtjes së të dhënave personale dhe të drejtës për informim. </w:t>
      </w:r>
      <w:r w:rsidR="00F95539" w:rsidRPr="008C1D0F">
        <w:rPr>
          <w:color w:val="000000"/>
        </w:rPr>
        <w:t>Kra</w:t>
      </w:r>
      <w:r w:rsidR="00803AB1">
        <w:rPr>
          <w:color w:val="000000"/>
        </w:rPr>
        <w:t>hasimisht me një vit më parë, vërehet një</w:t>
      </w:r>
      <w:r w:rsidR="00F95539" w:rsidRPr="008C1D0F">
        <w:rPr>
          <w:color w:val="000000"/>
        </w:rPr>
        <w:t xml:space="preserve"> rritje e</w:t>
      </w:r>
      <w:r w:rsidR="00803AB1">
        <w:rPr>
          <w:color w:val="000000"/>
        </w:rPr>
        <w:t xml:space="preserve"> numrit të akteve për të cilët është kërkuar opinioni i Zyrës së Komisionerit. Në këtë kuadë</w:t>
      </w:r>
      <w:r w:rsidR="00F95539" w:rsidRPr="008C1D0F">
        <w:rPr>
          <w:color w:val="000000"/>
        </w:rPr>
        <w:t>r janë adresuar për mendim 31 projektakte normative, përfshirë këtu, projektligje, projektvendime dhe projektmarrëveshje. Gjithashtu</w:t>
      </w:r>
      <w:r w:rsidR="00803AB1">
        <w:rPr>
          <w:color w:val="000000"/>
        </w:rPr>
        <w:t>, janë pë</w:t>
      </w:r>
      <w:r w:rsidR="00F95539" w:rsidRPr="008C1D0F">
        <w:rPr>
          <w:color w:val="000000"/>
        </w:rPr>
        <w:t xml:space="preserve">rgatitur 120 opinione ligjore të paraqitura nga kontrollues publik e privat. </w:t>
      </w:r>
    </w:p>
    <w:p w:rsidR="00916E6D" w:rsidRDefault="00916E6D" w:rsidP="00916E6D">
      <w:pPr>
        <w:jc w:val="both"/>
        <w:rPr>
          <w:b/>
          <w:lang w:val="it-IT"/>
        </w:rPr>
      </w:pPr>
    </w:p>
    <w:p w:rsidR="00803AB1" w:rsidRDefault="00803AB1" w:rsidP="00916E6D">
      <w:pPr>
        <w:jc w:val="both"/>
        <w:rPr>
          <w:b/>
          <w:lang w:val="it-IT"/>
        </w:rPr>
      </w:pPr>
    </w:p>
    <w:p w:rsidR="00803AB1" w:rsidRPr="008C1D0F" w:rsidRDefault="00803AB1" w:rsidP="00916E6D">
      <w:pPr>
        <w:jc w:val="both"/>
        <w:rPr>
          <w:b/>
          <w:lang w:val="it-IT"/>
        </w:rPr>
      </w:pPr>
    </w:p>
    <w:p w:rsidR="00916E6D" w:rsidRPr="008C1D0F" w:rsidRDefault="00916E6D" w:rsidP="00916E6D">
      <w:pPr>
        <w:pStyle w:val="ListParagraph"/>
        <w:numPr>
          <w:ilvl w:val="0"/>
          <w:numId w:val="1"/>
        </w:numPr>
        <w:jc w:val="both"/>
        <w:rPr>
          <w:rFonts w:ascii="Times New Roman" w:hAnsi="Times New Roman"/>
          <w:b/>
          <w:sz w:val="24"/>
          <w:szCs w:val="24"/>
          <w:lang w:val="it-IT"/>
        </w:rPr>
      </w:pPr>
      <w:r w:rsidRPr="008C1D0F">
        <w:rPr>
          <w:rFonts w:ascii="Times New Roman" w:hAnsi="Times New Roman"/>
          <w:b/>
          <w:sz w:val="24"/>
          <w:szCs w:val="24"/>
          <w:lang w:val="it-IT"/>
        </w:rPr>
        <w:t>Raportime</w:t>
      </w:r>
    </w:p>
    <w:p w:rsidR="00916E6D" w:rsidRPr="008C1D0F" w:rsidRDefault="00916E6D" w:rsidP="00916E6D">
      <w:pPr>
        <w:jc w:val="both"/>
        <w:rPr>
          <w:lang w:val="it-IT"/>
        </w:rPr>
      </w:pPr>
      <w:r w:rsidRPr="008C1D0F">
        <w:rPr>
          <w:lang w:val="it-IT"/>
        </w:rPr>
        <w:t>P</w:t>
      </w:r>
      <w:r w:rsidR="00A80E76" w:rsidRPr="008C1D0F">
        <w:rPr>
          <w:lang w:val="it-IT"/>
        </w:rPr>
        <w:t xml:space="preserve">ër periudhën raportuese </w:t>
      </w:r>
      <w:r w:rsidRPr="008C1D0F">
        <w:rPr>
          <w:lang w:val="it-IT"/>
        </w:rPr>
        <w:t>jan</w:t>
      </w:r>
      <w:r w:rsidR="00BA45FD" w:rsidRPr="008C1D0F">
        <w:rPr>
          <w:lang w:val="it-IT"/>
        </w:rPr>
        <w:t>ë</w:t>
      </w:r>
      <w:r w:rsidR="00A80E76" w:rsidRPr="008C1D0F">
        <w:rPr>
          <w:lang w:val="it-IT"/>
        </w:rPr>
        <w:t xml:space="preserve"> </w:t>
      </w:r>
      <w:r w:rsidRPr="008C1D0F">
        <w:rPr>
          <w:lang w:val="it-IT"/>
        </w:rPr>
        <w:t>hartuar</w:t>
      </w:r>
      <w:r w:rsidRPr="008C1D0F">
        <w:rPr>
          <w:b/>
          <w:lang w:val="it-IT"/>
        </w:rPr>
        <w:t xml:space="preserve"> </w:t>
      </w:r>
      <w:r w:rsidRPr="008C1D0F">
        <w:rPr>
          <w:lang w:val="it-IT"/>
        </w:rPr>
        <w:t>dhe kryer disa raportime si më poshtë:</w:t>
      </w:r>
    </w:p>
    <w:p w:rsidR="00F95539" w:rsidRPr="008C1D0F" w:rsidRDefault="00F95539" w:rsidP="00F95539">
      <w:pPr>
        <w:pStyle w:val="ListParagraph"/>
        <w:numPr>
          <w:ilvl w:val="0"/>
          <w:numId w:val="8"/>
        </w:numPr>
        <w:jc w:val="both"/>
        <w:rPr>
          <w:rFonts w:ascii="Times New Roman" w:hAnsi="Times New Roman"/>
          <w:sz w:val="24"/>
          <w:szCs w:val="24"/>
        </w:rPr>
      </w:pPr>
      <w:r w:rsidRPr="008C1D0F">
        <w:rPr>
          <w:rFonts w:ascii="Times New Roman" w:hAnsi="Times New Roman"/>
          <w:sz w:val="24"/>
          <w:szCs w:val="24"/>
        </w:rPr>
        <w:t xml:space="preserve">Nga ana tjetër, në kuadër të raportimeve lidhur me detyrimet që burojnë nga bashkëpunimi ndërkombëtar, Zyra e Komisionerit ka dhënë kontribut në hartimin e: </w:t>
      </w:r>
    </w:p>
    <w:p w:rsidR="00F95539" w:rsidRPr="008C1D0F" w:rsidRDefault="00F95539" w:rsidP="00F95539">
      <w:pPr>
        <w:pStyle w:val="ListParagraph"/>
        <w:numPr>
          <w:ilvl w:val="0"/>
          <w:numId w:val="8"/>
        </w:numPr>
        <w:jc w:val="both"/>
        <w:rPr>
          <w:rFonts w:ascii="Times New Roman" w:hAnsi="Times New Roman"/>
          <w:sz w:val="24"/>
          <w:szCs w:val="24"/>
        </w:rPr>
      </w:pPr>
      <w:r w:rsidRPr="008C1D0F">
        <w:rPr>
          <w:rFonts w:ascii="Times New Roman" w:hAnsi="Times New Roman"/>
          <w:sz w:val="24"/>
          <w:szCs w:val="24"/>
        </w:rPr>
        <w:t>Raportit për Ministrinë e Evropës dhe Punët e Jashtme mbi veprimtarinë e Zyrës së Komisionerit për vitin 2019 dhe tremujorin e parë të vitit 2020, në kuadër të takimit të 12-të të Nënkomitetit Bashkimi Evropian-Shqipëri “Drejtësia, Liria dhe Siguria”;</w:t>
      </w:r>
    </w:p>
    <w:p w:rsidR="00F95539" w:rsidRDefault="00F95539" w:rsidP="00F95539">
      <w:pPr>
        <w:pStyle w:val="ListParagraph"/>
        <w:numPr>
          <w:ilvl w:val="0"/>
          <w:numId w:val="8"/>
        </w:numPr>
        <w:jc w:val="both"/>
        <w:rPr>
          <w:rFonts w:ascii="Times New Roman" w:hAnsi="Times New Roman"/>
          <w:sz w:val="24"/>
          <w:szCs w:val="24"/>
        </w:rPr>
      </w:pPr>
      <w:r w:rsidRPr="008C1D0F">
        <w:rPr>
          <w:rFonts w:ascii="Times New Roman" w:hAnsi="Times New Roman"/>
          <w:sz w:val="24"/>
          <w:szCs w:val="24"/>
        </w:rPr>
        <w:t>Raportit mbi veprimtarinë e Zyrës së Komisionerit në kuadër të hartimit dhe dërgimit të kontributit të tretë dhe të katërt të qeverisë shqiptare për Raportin e Komisionit Evropian për Shqipërinë për vitin 2020 për Kapitullin “Kriteri Politik”, Kapitullin 23 dhe Kapitullin 10;</w:t>
      </w:r>
    </w:p>
    <w:p w:rsidR="00F95539" w:rsidRPr="008C1D0F" w:rsidRDefault="00F95539" w:rsidP="008C1D0F">
      <w:pPr>
        <w:pStyle w:val="ListParagraph"/>
        <w:numPr>
          <w:ilvl w:val="0"/>
          <w:numId w:val="8"/>
        </w:numPr>
        <w:jc w:val="both"/>
        <w:rPr>
          <w:rFonts w:ascii="Times New Roman" w:hAnsi="Times New Roman"/>
          <w:sz w:val="24"/>
          <w:szCs w:val="24"/>
        </w:rPr>
      </w:pPr>
      <w:r w:rsidRPr="008C1D0F">
        <w:rPr>
          <w:rFonts w:ascii="Times New Roman" w:hAnsi="Times New Roman"/>
          <w:sz w:val="24"/>
          <w:szCs w:val="24"/>
        </w:rPr>
        <w:t>Raportit në kuadër të hartimit të Planit Kombëtar për Integrimin Evropian 2021-2023, për Kapitullin “Kriteri Politik”, Kapitullin 23 dhe Kapitullin 10, mbi planifikimin e akteve ligjore dhe dokumenteve strategjike që synojnë përafrimin me legjislacionin e Bashkimit Evropian;</w:t>
      </w:r>
    </w:p>
    <w:p w:rsidR="00F95539" w:rsidRPr="008C1D0F" w:rsidRDefault="00F95539" w:rsidP="00F95539">
      <w:pPr>
        <w:pStyle w:val="ListParagraph"/>
        <w:numPr>
          <w:ilvl w:val="0"/>
          <w:numId w:val="8"/>
        </w:numPr>
        <w:jc w:val="both"/>
        <w:rPr>
          <w:rFonts w:ascii="Times New Roman" w:hAnsi="Times New Roman"/>
          <w:sz w:val="24"/>
          <w:szCs w:val="24"/>
        </w:rPr>
      </w:pPr>
      <w:r w:rsidRPr="008C1D0F">
        <w:rPr>
          <w:rFonts w:ascii="Times New Roman" w:hAnsi="Times New Roman"/>
          <w:sz w:val="24"/>
          <w:szCs w:val="24"/>
        </w:rPr>
        <w:t xml:space="preserve">Planit të Masave të Zyrës së Komisionerit për zbatimin e Rekomandimeve të lëna nga Raport Progresi i Komisionit Evropian për vitin 2020. </w:t>
      </w:r>
    </w:p>
    <w:p w:rsidR="00F95539" w:rsidRPr="008C1D0F" w:rsidRDefault="00F95539" w:rsidP="00F95539">
      <w:pPr>
        <w:pStyle w:val="ListParagraph"/>
        <w:numPr>
          <w:ilvl w:val="0"/>
          <w:numId w:val="8"/>
        </w:numPr>
        <w:jc w:val="both"/>
        <w:rPr>
          <w:rFonts w:ascii="Times New Roman" w:hAnsi="Times New Roman"/>
          <w:sz w:val="24"/>
          <w:szCs w:val="24"/>
        </w:rPr>
      </w:pPr>
      <w:r w:rsidRPr="008C1D0F">
        <w:rPr>
          <w:rFonts w:ascii="Times New Roman" w:hAnsi="Times New Roman"/>
          <w:sz w:val="24"/>
          <w:szCs w:val="24"/>
        </w:rPr>
        <w:t>Raportimin mbi rekomandimet e GRECO-s mbi raundit të pestë të vlerësimit;</w:t>
      </w:r>
    </w:p>
    <w:p w:rsidR="00F95539" w:rsidRPr="008C1D0F" w:rsidRDefault="00F95539" w:rsidP="00F95539">
      <w:pPr>
        <w:pStyle w:val="ListParagraph"/>
        <w:numPr>
          <w:ilvl w:val="0"/>
          <w:numId w:val="8"/>
        </w:numPr>
        <w:jc w:val="both"/>
        <w:rPr>
          <w:rFonts w:ascii="Times New Roman" w:hAnsi="Times New Roman"/>
          <w:sz w:val="24"/>
          <w:szCs w:val="24"/>
        </w:rPr>
      </w:pPr>
      <w:r w:rsidRPr="008C1D0F">
        <w:rPr>
          <w:rFonts w:ascii="Times New Roman" w:hAnsi="Times New Roman"/>
          <w:sz w:val="24"/>
          <w:szCs w:val="24"/>
        </w:rPr>
        <w:t>Raportit periodik në kuadër të pjesëmarrjes në Grupin e Berlinit;</w:t>
      </w:r>
    </w:p>
    <w:p w:rsidR="00F95539" w:rsidRPr="008C1D0F" w:rsidRDefault="00F95539" w:rsidP="00F95539">
      <w:pPr>
        <w:pStyle w:val="ListParagraph"/>
        <w:numPr>
          <w:ilvl w:val="0"/>
          <w:numId w:val="8"/>
        </w:numPr>
        <w:jc w:val="both"/>
        <w:rPr>
          <w:rFonts w:ascii="Times New Roman" w:hAnsi="Times New Roman"/>
          <w:sz w:val="24"/>
          <w:szCs w:val="24"/>
        </w:rPr>
      </w:pPr>
      <w:r w:rsidRPr="008C1D0F">
        <w:rPr>
          <w:rFonts w:ascii="Times New Roman" w:hAnsi="Times New Roman"/>
          <w:sz w:val="24"/>
          <w:szCs w:val="24"/>
        </w:rPr>
        <w:t xml:space="preserve">Katër raporte në zbatim të Vendimit të Kuvendit të Republikës së Shqipërisë nr. 134/2018, një raport në funksion të zbatimit të rezolutës së Kuvendit të Republikës së Shqipërisë dhe tre raporte për zbatimin e rekomandimeve të Komisionerit nga institucionet përkatëse. </w:t>
      </w:r>
    </w:p>
    <w:p w:rsidR="00916E6D" w:rsidRDefault="00F87A2A" w:rsidP="00C400D3">
      <w:pPr>
        <w:pStyle w:val="ListParagraph"/>
        <w:numPr>
          <w:ilvl w:val="0"/>
          <w:numId w:val="8"/>
        </w:numPr>
        <w:jc w:val="both"/>
        <w:rPr>
          <w:rFonts w:ascii="Times New Roman" w:hAnsi="Times New Roman"/>
          <w:sz w:val="24"/>
          <w:szCs w:val="24"/>
        </w:rPr>
      </w:pPr>
      <w:r w:rsidRPr="008C1D0F">
        <w:rPr>
          <w:rFonts w:ascii="Times New Roman" w:hAnsi="Times New Roman"/>
          <w:sz w:val="24"/>
          <w:szCs w:val="24"/>
        </w:rPr>
        <w:t xml:space="preserve">Zyra e Komisionerit është përfituese e projektit të binjakëzimit </w:t>
      </w:r>
      <w:r w:rsidRPr="008C1D0F">
        <w:rPr>
          <w:rStyle w:val="Strong"/>
          <w:rFonts w:ascii="Times New Roman" w:hAnsi="Times New Roman"/>
          <w:i/>
          <w:color w:val="666666"/>
          <w:sz w:val="24"/>
          <w:szCs w:val="24"/>
          <w:bdr w:val="none" w:sz="0" w:space="0" w:color="auto" w:frame="1"/>
          <w:shd w:val="clear" w:color="auto" w:fill="FFFFFF"/>
        </w:rPr>
        <w:t>“</w:t>
      </w:r>
      <w:r w:rsidRPr="008C1D0F">
        <w:rPr>
          <w:rFonts w:ascii="Times New Roman" w:hAnsi="Times New Roman"/>
          <w:i/>
          <w:iCs/>
          <w:sz w:val="24"/>
          <w:szCs w:val="24"/>
        </w:rPr>
        <w:t>Mbështetje institucionit për përafrimin e legjislacionit mbi mbrojtjen e të dhënave personale me acquis-in e Bashkimit Evropian”</w:t>
      </w:r>
      <w:r w:rsidRPr="008C1D0F">
        <w:rPr>
          <w:rFonts w:ascii="Times New Roman" w:hAnsi="Times New Roman"/>
          <w:sz w:val="24"/>
          <w:szCs w:val="24"/>
        </w:rPr>
        <w:t xml:space="preserve">, financuar nga programi i BE IPA 2017, objektiv kryesor i të cilit është forcimi i kapaciteteve institucionale të Zyrës së Komisionerit, lidhur me mbikëqyrjen dhe monitorimin e mbrojtjes së të dhënave personale, si në sektorin publik ashtu edhe në atë privat. Në bashkëpunim me institucionet përgjegjëse, Zyra jone ndoqi të gjithë procedurat për përzgjedhjen e autoritetit homolog që do të asistojë në këtë proces. Projekti filloi zbatimin e tij me datë 01.10.2020 dhe implementimi i tij do të zgjasë 12 muaj.  Përfundimi i zbatimit të projektit të binjakëzimit në fundin e vitit 2021, do të shënojë edhe miratimin e kuadrit të ri ligjor në fushën e mbrojtjes së të dhënave personale të përafruar me </w:t>
      </w:r>
      <w:r w:rsidRPr="008C1D0F">
        <w:rPr>
          <w:rFonts w:ascii="Times New Roman" w:hAnsi="Times New Roman"/>
          <w:i/>
          <w:sz w:val="24"/>
          <w:szCs w:val="24"/>
        </w:rPr>
        <w:t xml:space="preserve">acquis </w:t>
      </w:r>
      <w:r w:rsidRPr="008C1D0F">
        <w:rPr>
          <w:rFonts w:ascii="Times New Roman" w:hAnsi="Times New Roman"/>
          <w:sz w:val="24"/>
          <w:szCs w:val="24"/>
        </w:rPr>
        <w:t>përkatese të BE në këtë fushë.</w:t>
      </w:r>
    </w:p>
    <w:p w:rsidR="00803AB1" w:rsidRPr="00C400D3" w:rsidRDefault="00803AB1" w:rsidP="00803AB1">
      <w:pPr>
        <w:pStyle w:val="ListParagraph"/>
        <w:ind w:left="360"/>
        <w:jc w:val="both"/>
        <w:rPr>
          <w:rFonts w:ascii="Times New Roman" w:hAnsi="Times New Roman"/>
          <w:sz w:val="24"/>
          <w:szCs w:val="24"/>
        </w:rPr>
      </w:pPr>
    </w:p>
    <w:p w:rsidR="00BA3973" w:rsidRPr="008C1D0F" w:rsidRDefault="00BA3973" w:rsidP="008C1D0F">
      <w:pPr>
        <w:pStyle w:val="ListParagraph"/>
        <w:numPr>
          <w:ilvl w:val="0"/>
          <w:numId w:val="19"/>
        </w:numPr>
        <w:jc w:val="both"/>
        <w:rPr>
          <w:rFonts w:ascii="Times New Roman" w:hAnsi="Times New Roman"/>
          <w:b/>
          <w:sz w:val="24"/>
          <w:szCs w:val="24"/>
        </w:rPr>
      </w:pPr>
      <w:r w:rsidRPr="008C1D0F">
        <w:rPr>
          <w:rFonts w:ascii="Times New Roman" w:hAnsi="Times New Roman"/>
          <w:b/>
          <w:sz w:val="24"/>
          <w:szCs w:val="24"/>
        </w:rPr>
        <w:t xml:space="preserve">Proceset gjyqësore </w:t>
      </w:r>
    </w:p>
    <w:p w:rsidR="00F87A2A" w:rsidRPr="008C1D0F" w:rsidRDefault="00F87A2A" w:rsidP="008C1D0F">
      <w:pPr>
        <w:spacing w:line="276" w:lineRule="auto"/>
        <w:jc w:val="both"/>
      </w:pPr>
      <w:r w:rsidRPr="008C1D0F">
        <w:t xml:space="preserve">Në vitin 2020 janë zhvilluar dhe ndjekur në total 35 procese gjyqësore pranë Gjykatës Administrative të Shkallës së Parë Tiranë, me objekt ligjin për të drejtën e informimit, ligjin për mbrojtjen e të dhënave personale, ligjin për njoftimin dhe konsultimin publik si dhe çështje me objekt ligjin për nëpunësin civil, të mbartura nga vitet e kaluara. </w:t>
      </w:r>
    </w:p>
    <w:p w:rsidR="00F87A2A" w:rsidRPr="008C1D0F" w:rsidRDefault="00F87A2A" w:rsidP="008C1D0F">
      <w:pPr>
        <w:spacing w:line="276" w:lineRule="auto"/>
        <w:jc w:val="both"/>
      </w:pPr>
    </w:p>
    <w:p w:rsidR="00F87A2A" w:rsidRPr="008C1D0F" w:rsidRDefault="00F87A2A" w:rsidP="008C1D0F">
      <w:pPr>
        <w:spacing w:line="276" w:lineRule="auto"/>
        <w:jc w:val="both"/>
      </w:pPr>
      <w:r w:rsidRPr="008C1D0F">
        <w:t>Edhe këtë vit, gjykata për shumicën e çështjeve, ka konfirmuar me vendim</w:t>
      </w:r>
      <w:r w:rsidR="00803AB1">
        <w:t>m</w:t>
      </w:r>
      <w:r w:rsidRPr="008C1D0F">
        <w:t xml:space="preserve">arrjen e saj qëndrimin e Komisionerit lidhur më rastet e trajtuara. </w:t>
      </w:r>
    </w:p>
    <w:p w:rsidR="00F87A2A" w:rsidRPr="008C1D0F" w:rsidRDefault="00F87A2A" w:rsidP="008C1D0F">
      <w:pPr>
        <w:spacing w:line="276" w:lineRule="auto"/>
        <w:jc w:val="both"/>
      </w:pPr>
      <w:r w:rsidRPr="008C1D0F">
        <w:t xml:space="preserve">Për periudhën raportuese, Zyra e Komisionerit ka ndjekur 30 procese gjyqësore me objekt ligjin për të drejtën e informimit, ndër të cilat: 6 çështje administrative janë ndjekur për vendime të dhëna në vitin 2020, 17 çështje janë ndjekur për akte administrative, 2 çështje administrative janë ndjekur për vendime të dhëna nga Komisioneri në vitin 2019 dhe 5 procese gjyqësore janë të mbartura. </w:t>
      </w:r>
    </w:p>
    <w:p w:rsidR="00F87A2A" w:rsidRPr="008C1D0F" w:rsidRDefault="00F87A2A" w:rsidP="008C1D0F">
      <w:pPr>
        <w:spacing w:line="276" w:lineRule="auto"/>
        <w:jc w:val="both"/>
      </w:pPr>
      <w:r w:rsidRPr="008C1D0F">
        <w:t>Nga 30 procese gjyqësore, gjykata ka vendosur për 6 çështje, lënien në fuqi të vendimit të Komisionerit, 3 pranimin e kërkesë padisë, 7 pranim të pjesshëm të padisë, 10 pushimin e gjykimit për Zyrën e Komisionerit me kërkesë të palës Paditëse me argumentin se Komisioneri ka përmbushur funksionin e tij administrativ, ndërsa 4 çështje vijojnë të jenë në proces.</w:t>
      </w:r>
    </w:p>
    <w:p w:rsidR="00F87A2A" w:rsidRPr="008C1D0F" w:rsidRDefault="00F87A2A" w:rsidP="00C400D3">
      <w:pPr>
        <w:spacing w:line="276" w:lineRule="auto"/>
        <w:ind w:right="-44"/>
        <w:jc w:val="both"/>
      </w:pPr>
      <w:r w:rsidRPr="008C1D0F">
        <w:t xml:space="preserve">Komisioneri për vitin 2020 në respektim të ligjit për mbrojtjen e të dhënave personale, është shprehur me 18 vendime. Ndër to, për 13 vendime kontrolluesit kanë ekzekutuar vullnetarisht sanksionet administrative, për 3 vendime Zyra e Komisionerit ka kërkuar ekzekutimin e detyrueshëm, ndërsa 2 </w:t>
      </w:r>
      <w:r w:rsidR="00803AB1">
        <w:t>vendime mbeten</w:t>
      </w:r>
      <w:r w:rsidRPr="008C1D0F">
        <w:t xml:space="preserve"> në pritje të plotësimit të afatit. Nga ana tjetër, gjatë këtij viti pranë Gjykatës Administrative të Shkallës së Parë Tiranë, janë ndjekur 3 procese gjyqësore me objekt ligjin për mbrojtjen e të dhënave personale, për të cilat gjykata ka vendosur lënien në fuqi të vendimit të Komisionerit. </w:t>
      </w:r>
    </w:p>
    <w:p w:rsidR="00F05DE6" w:rsidRPr="00C400D3" w:rsidRDefault="00F87A2A" w:rsidP="00C400D3">
      <w:pPr>
        <w:spacing w:line="276" w:lineRule="auto"/>
        <w:jc w:val="both"/>
      </w:pPr>
      <w:r w:rsidRPr="008C1D0F">
        <w:t>Gjatë vitit 2020, Zyra e Komisionerit ka ndjekur edhe procese gjyqësore në Gjykatën Administrative të Apelit, Tiranë. Numri total i çështjeve të regjistruara pranë kësaj gjykate është 37, ndër të cilat, 34 vijojnë të jenë në proces, për 1 çështje gjykata ka vendosur rrëzimin e padisë dhe për 2 çështje vendosi prishjen e vendimit dhe kthimin e çështjes për rigjykim në Gjykatën Administrative të Shkallës së Parë Tiranë.</w:t>
      </w:r>
    </w:p>
    <w:p w:rsidR="00BA3973" w:rsidRPr="008C1D0F" w:rsidRDefault="00C42C55" w:rsidP="008C1D0F">
      <w:pPr>
        <w:spacing w:after="120" w:line="276" w:lineRule="auto"/>
        <w:jc w:val="both"/>
        <w:rPr>
          <w:color w:val="000000" w:themeColor="text1"/>
        </w:rPr>
      </w:pPr>
      <w:r w:rsidRPr="008C1D0F">
        <w:rPr>
          <w:color w:val="000000" w:themeColor="text1"/>
        </w:rPr>
        <w:t>Në lidhje me vendimet e Komisionerit dhe zbatimin e tyre, bazuar në numrin e vendimeve të lëna në fuqi nga gjykata ose ekzekutimin e tyre edhe për këtë vit konstatohet një ecuri shumë pozitive në plotësimin e treguesve të performa</w:t>
      </w:r>
      <w:r w:rsidR="00803AB1">
        <w:rPr>
          <w:color w:val="000000" w:themeColor="text1"/>
        </w:rPr>
        <w:t>n</w:t>
      </w:r>
      <w:r w:rsidRPr="008C1D0F">
        <w:rPr>
          <w:color w:val="000000" w:themeColor="text1"/>
        </w:rPr>
        <w:t xml:space="preserve">cës në nivel strategjik, për rreth </w:t>
      </w:r>
      <w:r w:rsidR="00803AB1">
        <w:rPr>
          <w:color w:val="000000" w:themeColor="text1"/>
        </w:rPr>
        <w:t xml:space="preserve">         90</w:t>
      </w:r>
      <w:r w:rsidRPr="008C1D0F">
        <w:rPr>
          <w:color w:val="000000" w:themeColor="text1"/>
        </w:rPr>
        <w:t xml:space="preserve">%. </w:t>
      </w:r>
    </w:p>
    <w:p w:rsidR="00E2340E" w:rsidRPr="008C1D0F" w:rsidRDefault="003C4982" w:rsidP="008C1D0F">
      <w:pPr>
        <w:spacing w:after="120" w:line="276" w:lineRule="auto"/>
        <w:jc w:val="both"/>
        <w:rPr>
          <w:b/>
          <w:color w:val="000000" w:themeColor="text1"/>
        </w:rPr>
      </w:pPr>
      <w:r w:rsidRPr="008C1D0F">
        <w:rPr>
          <w:b/>
          <w:color w:val="000000" w:themeColor="text1"/>
        </w:rPr>
        <w:t>-</w:t>
      </w:r>
      <w:r w:rsidR="006560A0" w:rsidRPr="008C1D0F">
        <w:rPr>
          <w:b/>
          <w:color w:val="000000" w:themeColor="text1"/>
        </w:rPr>
        <w:t>Të ardhurat nga sanksionet/gjoba</w:t>
      </w:r>
    </w:p>
    <w:p w:rsidR="00583CF8" w:rsidRDefault="00583CF8" w:rsidP="00583CF8">
      <w:pPr>
        <w:spacing w:line="276" w:lineRule="auto"/>
        <w:jc w:val="both"/>
      </w:pPr>
      <w:r w:rsidRPr="00F66DC1">
        <w:t>Për vitin 2020, Zyra e Komisionerit arkëtoi të ardhura nga sanksionet administrative, për shkelje të dispozitave të legjislacionit në fuqi në masën 2.629 (në mijë lekë), sanksione të cilat arkëtohen në masë</w:t>
      </w:r>
      <w:r w:rsidR="00803AB1">
        <w:t>n 100% në buxhetin e shtetit.</w:t>
      </w:r>
    </w:p>
    <w:p w:rsidR="00F3159A" w:rsidRPr="008C1D0F" w:rsidRDefault="003262F0" w:rsidP="00F3159A">
      <w:pPr>
        <w:spacing w:after="120" w:line="276" w:lineRule="auto"/>
        <w:ind w:right="206"/>
        <w:jc w:val="both"/>
      </w:pPr>
      <w:r w:rsidRPr="008C1D0F">
        <w:t xml:space="preserve">Për vitin 2020, sanksionet e </w:t>
      </w:r>
      <w:r w:rsidR="00803AB1">
        <w:t xml:space="preserve">vendosura janë në shumën 1.860 </w:t>
      </w:r>
      <w:r w:rsidRPr="008C1D0F">
        <w:t>(në mijë lekë), nga të cilat vlera e arkëtuar është 1.590 (në mijë lekë)</w:t>
      </w:r>
      <w:r w:rsidR="00803AB1">
        <w:t xml:space="preserve"> ose rreth 85</w:t>
      </w:r>
      <w:r w:rsidR="00F3159A">
        <w:t>% e sanksioneve, e cila tregon një ecuri shumë pozitive e krahasuar me një vit më pa</w:t>
      </w:r>
      <w:r w:rsidR="00803AB1">
        <w:t xml:space="preserve">rë ku niveli ishte vetëm 55%. </w:t>
      </w:r>
      <w:r w:rsidR="00F3159A" w:rsidRPr="008C1D0F">
        <w:t xml:space="preserve">Ndërsa </w:t>
      </w:r>
      <w:r w:rsidR="00F3159A">
        <w:t xml:space="preserve">shuma e arkëtuar </w:t>
      </w:r>
      <w:r w:rsidR="00803AB1">
        <w:t xml:space="preserve">nga detyrimet debitore </w:t>
      </w:r>
      <w:r w:rsidR="00F3159A">
        <w:t xml:space="preserve">për periudhat e mëparshme është </w:t>
      </w:r>
      <w:r w:rsidR="00F3159A" w:rsidRPr="008C1D0F">
        <w:t>1.039 (në mijë) lekë</w:t>
      </w:r>
      <w:r w:rsidR="00F3159A">
        <w:t>.</w:t>
      </w:r>
    </w:p>
    <w:p w:rsidR="007578F5" w:rsidRPr="00803AB1" w:rsidRDefault="007540EE" w:rsidP="00803AB1">
      <w:pPr>
        <w:spacing w:after="120" w:line="276" w:lineRule="auto"/>
        <w:ind w:right="206"/>
        <w:jc w:val="both"/>
      </w:pPr>
      <w:r>
        <w:rPr>
          <w:color w:val="262626" w:themeColor="text1" w:themeTint="D9"/>
        </w:rPr>
        <w:t>N</w:t>
      </w:r>
      <w:r w:rsidRPr="003262F0">
        <w:rPr>
          <w:color w:val="262626" w:themeColor="text1" w:themeTint="D9"/>
        </w:rPr>
        <w:t>jë ecuri shumë pozitive në plotësimin e</w:t>
      </w:r>
      <w:r w:rsidRPr="003262F0">
        <w:rPr>
          <w:color w:val="000000" w:themeColor="text1"/>
        </w:rPr>
        <w:t xml:space="preserve"> treguesve të performa</w:t>
      </w:r>
      <w:r w:rsidR="00803AB1">
        <w:rPr>
          <w:color w:val="000000" w:themeColor="text1"/>
        </w:rPr>
        <w:t>n</w:t>
      </w:r>
      <w:r w:rsidRPr="003262F0">
        <w:rPr>
          <w:color w:val="000000" w:themeColor="text1"/>
        </w:rPr>
        <w:t>cës në nivel strategjik</w:t>
      </w:r>
      <w:r w:rsidRPr="003262F0">
        <w:rPr>
          <w:color w:val="262626" w:themeColor="text1" w:themeTint="D9"/>
        </w:rPr>
        <w:t xml:space="preserve"> </w:t>
      </w:r>
      <w:r>
        <w:rPr>
          <w:color w:val="262626" w:themeColor="text1" w:themeTint="D9"/>
        </w:rPr>
        <w:t>k</w:t>
      </w:r>
      <w:r w:rsidR="003262F0" w:rsidRPr="003262F0">
        <w:rPr>
          <w:color w:val="262626" w:themeColor="text1" w:themeTint="D9"/>
        </w:rPr>
        <w:t xml:space="preserve">onstatohet </w:t>
      </w:r>
      <w:r>
        <w:rPr>
          <w:color w:val="262626" w:themeColor="text1" w:themeTint="D9"/>
        </w:rPr>
        <w:t>me rritjen e nivelit t</w:t>
      </w:r>
      <w:r w:rsidR="00F3159A">
        <w:rPr>
          <w:color w:val="262626" w:themeColor="text1" w:themeTint="D9"/>
        </w:rPr>
        <w:t>ë</w:t>
      </w:r>
      <w:r>
        <w:rPr>
          <w:color w:val="262626" w:themeColor="text1" w:themeTint="D9"/>
        </w:rPr>
        <w:t xml:space="preserve"> egzekutimeve vul</w:t>
      </w:r>
      <w:r w:rsidR="00F3159A">
        <w:rPr>
          <w:color w:val="262626" w:themeColor="text1" w:themeTint="D9"/>
        </w:rPr>
        <w:t>l</w:t>
      </w:r>
      <w:r>
        <w:rPr>
          <w:color w:val="262626" w:themeColor="text1" w:themeTint="D9"/>
        </w:rPr>
        <w:t>netare t</w:t>
      </w:r>
      <w:r w:rsidR="00F3159A">
        <w:rPr>
          <w:color w:val="262626" w:themeColor="text1" w:themeTint="D9"/>
        </w:rPr>
        <w:t>ë</w:t>
      </w:r>
      <w:r>
        <w:rPr>
          <w:color w:val="262626" w:themeColor="text1" w:themeTint="D9"/>
        </w:rPr>
        <w:t xml:space="preserve"> sanksioneve </w:t>
      </w:r>
      <w:r w:rsidR="00F3159A">
        <w:rPr>
          <w:color w:val="262626" w:themeColor="text1" w:themeTint="D9"/>
        </w:rPr>
        <w:t xml:space="preserve">te vendosura për vitin 2020, ku </w:t>
      </w:r>
      <w:r w:rsidR="00803AB1">
        <w:t>86</w:t>
      </w:r>
      <w:r w:rsidR="003262F0" w:rsidRPr="003262F0">
        <w:t xml:space="preserve">% e </w:t>
      </w:r>
      <w:r w:rsidR="003262F0">
        <w:t xml:space="preserve">tyre </w:t>
      </w:r>
      <w:r w:rsidR="00803AB1">
        <w:t>janë shlyer vullnetarisht</w:t>
      </w:r>
      <w:r w:rsidR="003262F0">
        <w:t>, n</w:t>
      </w:r>
      <w:r w:rsidR="003262F0" w:rsidRPr="003262F0">
        <w:t>d</w:t>
      </w:r>
      <w:r w:rsidR="003262F0">
        <w:t>ë</w:t>
      </w:r>
      <w:r w:rsidR="00803AB1">
        <w:t xml:space="preserve">rsa 14% </w:t>
      </w:r>
      <w:r w:rsidR="00F3159A">
        <w:t xml:space="preserve">janë shlyer </w:t>
      </w:r>
      <w:r w:rsidR="003262F0" w:rsidRPr="003262F0">
        <w:t>me ekzekutim të detyrueshëm nga për</w:t>
      </w:r>
      <w:r w:rsidR="00F3159A">
        <w:t>m</w:t>
      </w:r>
      <w:r w:rsidR="003262F0" w:rsidRPr="003262F0">
        <w:t>barimi</w:t>
      </w:r>
      <w:r w:rsidR="003262F0">
        <w:t xml:space="preserve">. </w:t>
      </w:r>
    </w:p>
    <w:p w:rsidR="006560A0" w:rsidRPr="008C1D0F" w:rsidRDefault="00C400D3" w:rsidP="00C400D3">
      <w:pPr>
        <w:tabs>
          <w:tab w:val="left" w:pos="6765"/>
        </w:tabs>
        <w:spacing w:line="276" w:lineRule="auto"/>
        <w:jc w:val="center"/>
        <w:rPr>
          <w:rFonts w:eastAsia="Batang"/>
          <w:b/>
        </w:rPr>
      </w:pPr>
      <w:r>
        <w:rPr>
          <w:rFonts w:eastAsia="Batang"/>
          <w:b/>
        </w:rPr>
        <w:t xml:space="preserve">                                                                                                        </w:t>
      </w:r>
      <w:r w:rsidR="006560A0" w:rsidRPr="008C1D0F">
        <w:rPr>
          <w:rFonts w:eastAsia="Batang"/>
          <w:b/>
        </w:rPr>
        <w:t xml:space="preserve">KOMISIONERI </w:t>
      </w:r>
    </w:p>
    <w:p w:rsidR="006560A0" w:rsidRPr="008C1D0F" w:rsidRDefault="006560A0" w:rsidP="006560A0">
      <w:pPr>
        <w:tabs>
          <w:tab w:val="left" w:pos="6765"/>
        </w:tabs>
        <w:spacing w:line="276" w:lineRule="auto"/>
        <w:jc w:val="right"/>
      </w:pPr>
    </w:p>
    <w:p w:rsidR="006560A0" w:rsidRPr="008C1D0F" w:rsidRDefault="00A80E76" w:rsidP="00A80E76">
      <w:pPr>
        <w:tabs>
          <w:tab w:val="left" w:pos="6765"/>
        </w:tabs>
        <w:spacing w:line="276" w:lineRule="auto"/>
        <w:jc w:val="center"/>
      </w:pPr>
      <w:r w:rsidRPr="008C1D0F">
        <w:rPr>
          <w:rFonts w:eastAsia="Batang"/>
        </w:rPr>
        <w:t xml:space="preserve">                                                                                 </w:t>
      </w:r>
      <w:r w:rsidR="00C400D3">
        <w:rPr>
          <w:rFonts w:eastAsia="Batang"/>
        </w:rPr>
        <w:t xml:space="preserve">                      </w:t>
      </w:r>
      <w:r w:rsidR="006560A0" w:rsidRPr="008C1D0F">
        <w:rPr>
          <w:rFonts w:eastAsia="Batang"/>
          <w:b/>
        </w:rPr>
        <w:t>Besnik Dervishi</w:t>
      </w:r>
    </w:p>
    <w:p w:rsidR="00CA3D5C" w:rsidRPr="008C1D0F" w:rsidRDefault="00CA3D5C" w:rsidP="001B183B">
      <w:pPr>
        <w:spacing w:line="276" w:lineRule="auto"/>
        <w:jc w:val="both"/>
      </w:pPr>
    </w:p>
    <w:sectPr w:rsidR="00CA3D5C" w:rsidRPr="008C1D0F" w:rsidSect="00A80E76">
      <w:footerReference w:type="default" r:id="rId11"/>
      <w:pgSz w:w="11907" w:h="16839" w:code="9"/>
      <w:pgMar w:top="1134" w:right="1701" w:bottom="1134" w:left="1701"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2D0" w:rsidRDefault="00D442D0">
      <w:r>
        <w:separator/>
      </w:r>
    </w:p>
  </w:endnote>
  <w:endnote w:type="continuationSeparator" w:id="0">
    <w:p w:rsidR="00D442D0" w:rsidRDefault="00D4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AB1" w:rsidRDefault="00803AB1" w:rsidP="000D005B"/>
  <w:p w:rsidR="00803AB1" w:rsidRDefault="00803AB1" w:rsidP="000D005B">
    <w:pPr>
      <w:pStyle w:val="Footer"/>
    </w:pPr>
    <w:r>
      <w:rPr>
        <w:noProof/>
        <w:lang w:val="en-US" w:eastAsia="en-US"/>
      </w:rPr>
      <mc:AlternateContent>
        <mc:Choice Requires="wps">
          <w:drawing>
            <wp:anchor distT="4294967291" distB="4294967291" distL="114300" distR="114300" simplePos="0" relativeHeight="251659264" behindDoc="0" locked="0" layoutInCell="1" allowOverlap="1">
              <wp:simplePos x="0" y="0"/>
              <wp:positionH relativeFrom="column">
                <wp:posOffset>-41910</wp:posOffset>
              </wp:positionH>
              <wp:positionV relativeFrom="paragraph">
                <wp:posOffset>-29846</wp:posOffset>
              </wp:positionV>
              <wp:extent cx="543623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62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9D4392"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3.3pt,-2.35pt" to="42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" strokecolor="black [3213]" strokeweight="1.5pt">
              <o:lock v:ext="edit" shapetype="f"/>
            </v:line>
          </w:pict>
        </mc:Fallback>
      </mc:AlternateContent>
    </w:r>
    <w:r w:rsidRPr="009D51CA">
      <w:rPr>
        <w:sz w:val="16"/>
        <w:szCs w:val="16"/>
        <w:lang w:val="it-IT"/>
      </w:rPr>
      <w:t>Adresa:</w:t>
    </w:r>
    <w:r w:rsidRPr="009D51CA">
      <w:rPr>
        <w:bCs/>
        <w:sz w:val="16"/>
        <w:szCs w:val="16"/>
      </w:rPr>
      <w:t xml:space="preserve"> “Rr. </w:t>
    </w:r>
    <w:r>
      <w:rPr>
        <w:bCs/>
        <w:sz w:val="16"/>
        <w:szCs w:val="16"/>
      </w:rPr>
      <w:t>Abdi Toptani</w:t>
    </w:r>
    <w:r w:rsidRPr="009D51CA">
      <w:rPr>
        <w:bCs/>
        <w:sz w:val="16"/>
        <w:szCs w:val="16"/>
      </w:rPr>
      <w:t>,</w:t>
    </w:r>
    <w:r>
      <w:rPr>
        <w:bCs/>
        <w:sz w:val="16"/>
        <w:szCs w:val="16"/>
      </w:rPr>
      <w:t xml:space="preserve"> Nd.5</w:t>
    </w:r>
    <w:r w:rsidRPr="009D51CA">
      <w:rPr>
        <w:bCs/>
        <w:sz w:val="16"/>
        <w:szCs w:val="16"/>
      </w:rPr>
      <w:t xml:space="preserve"> Tiran</w:t>
    </w:r>
    <w:r>
      <w:rPr>
        <w:bCs/>
        <w:sz w:val="16"/>
        <w:szCs w:val="16"/>
      </w:rPr>
      <w:t>ë</w:t>
    </w:r>
    <w:r w:rsidRPr="009D51CA">
      <w:rPr>
        <w:bCs/>
        <w:sz w:val="16"/>
        <w:szCs w:val="16"/>
      </w:rPr>
      <w:t>”</w:t>
    </w:r>
    <w:r>
      <w:rPr>
        <w:bCs/>
        <w:sz w:val="16"/>
        <w:szCs w:val="16"/>
      </w:rPr>
      <w:t xml:space="preserve">,                        </w:t>
    </w:r>
    <w:r w:rsidRPr="009D51CA">
      <w:rPr>
        <w:sz w:val="16"/>
        <w:szCs w:val="16"/>
      </w:rPr>
      <w:t>Telefon:00355 42237200</w:t>
    </w:r>
    <w:r>
      <w:rPr>
        <w:sz w:val="16"/>
        <w:szCs w:val="16"/>
      </w:rPr>
      <w:t xml:space="preserve">,                                     </w:t>
    </w:r>
    <w:hyperlink r:id="rId1" w:history="1">
      <w:r w:rsidRPr="003C1980">
        <w:rPr>
          <w:rStyle w:val="Hyperlink"/>
          <w:sz w:val="16"/>
          <w:szCs w:val="16"/>
        </w:rPr>
        <w:t>www.idp.al</w:t>
      </w:r>
    </w:hyperlink>
    <w:r w:rsidRPr="00A02BAF">
      <w:rPr>
        <w:color w:val="365F91" w:themeColor="accent1" w:themeShade="BF"/>
        <w:sz w:val="16"/>
        <w:szCs w:val="16"/>
        <w:u w:val="single"/>
      </w:rPr>
      <w:t xml:space="preserve"> info@idp.al</w:t>
    </w:r>
    <w:r w:rsidRPr="001B6125">
      <w:rPr>
        <w:color w:val="0070C0"/>
        <w:sz w:val="16"/>
        <w:szCs w:val="16"/>
      </w:rPr>
      <w:tab/>
    </w:r>
  </w:p>
  <w:p w:rsidR="00803AB1" w:rsidRPr="005855EA" w:rsidRDefault="00803AB1" w:rsidP="000D00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2D0" w:rsidRDefault="00D442D0">
      <w:r>
        <w:separator/>
      </w:r>
    </w:p>
  </w:footnote>
  <w:footnote w:type="continuationSeparator" w:id="0">
    <w:p w:rsidR="00D442D0" w:rsidRDefault="00D442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64AA"/>
      </v:shape>
    </w:pict>
  </w:numPicBullet>
  <w:abstractNum w:abstractNumId="0" w15:restartNumberingAfterBreak="0">
    <w:nsid w:val="044A45CF"/>
    <w:multiLevelType w:val="hybridMultilevel"/>
    <w:tmpl w:val="730AC088"/>
    <w:lvl w:ilvl="0" w:tplc="1422DF5C">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860E9E"/>
    <w:multiLevelType w:val="hybridMultilevel"/>
    <w:tmpl w:val="0504B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0BF0"/>
    <w:multiLevelType w:val="hybridMultilevel"/>
    <w:tmpl w:val="366414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673EC7"/>
    <w:multiLevelType w:val="hybridMultilevel"/>
    <w:tmpl w:val="9F2495E6"/>
    <w:lvl w:ilvl="0" w:tplc="0409000B">
      <w:start w:val="1"/>
      <w:numFmt w:val="bullet"/>
      <w:lvlText w:val=""/>
      <w:lvlJc w:val="left"/>
      <w:pPr>
        <w:ind w:left="1080" w:hanging="360"/>
      </w:pPr>
      <w:rPr>
        <w:rFonts w:ascii="Wingdings" w:hAnsi="Wingdings" w:hint="default"/>
      </w:rPr>
    </w:lvl>
    <w:lvl w:ilvl="1" w:tplc="0CDCA044">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76497"/>
    <w:multiLevelType w:val="hybridMultilevel"/>
    <w:tmpl w:val="4AE210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E54D5"/>
    <w:multiLevelType w:val="hybridMultilevel"/>
    <w:tmpl w:val="6B0081A8"/>
    <w:lvl w:ilvl="0" w:tplc="4C8294E8">
      <w:start w:val="1"/>
      <w:numFmt w:val="bullet"/>
      <w:lvlText w:val=""/>
      <w:lvlJc w:val="left"/>
      <w:pPr>
        <w:ind w:left="720" w:hanging="360"/>
      </w:pPr>
      <w:rPr>
        <w:rFonts w:ascii="Symbol" w:hAnsi="Symbol" w:hint="default"/>
        <w:color w:val="8064A2"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57441"/>
    <w:multiLevelType w:val="hybridMultilevel"/>
    <w:tmpl w:val="E76A57E0"/>
    <w:lvl w:ilvl="0" w:tplc="FEE64138">
      <w:numFmt w:val="bullet"/>
      <w:lvlText w:val="-"/>
      <w:lvlJc w:val="left"/>
      <w:pPr>
        <w:ind w:left="786" w:hanging="360"/>
      </w:pPr>
      <w:rPr>
        <w:rFonts w:ascii="Times New Roman" w:eastAsia="Calibri" w:hAnsi="Times New Roman" w:cs="Times New Roman" w:hint="default"/>
      </w:rPr>
    </w:lvl>
    <w:lvl w:ilvl="1" w:tplc="394EC180">
      <w:start w:val="4"/>
      <w:numFmt w:val="bullet"/>
      <w:lvlText w:val="-"/>
      <w:lvlJc w:val="left"/>
      <w:pPr>
        <w:ind w:left="1506" w:hanging="360"/>
      </w:pPr>
      <w:rPr>
        <w:rFonts w:ascii="Arial" w:eastAsia="Calibri" w:hAnsi="Arial" w:cs="Arial"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1A304F08"/>
    <w:multiLevelType w:val="hybridMultilevel"/>
    <w:tmpl w:val="3D94DDD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B832ACF"/>
    <w:multiLevelType w:val="multilevel"/>
    <w:tmpl w:val="B8785A76"/>
    <w:lvl w:ilvl="0">
      <w:start w:val="4"/>
      <w:numFmt w:val="decimal"/>
      <w:lvlText w:val="%1"/>
      <w:lvlJc w:val="left"/>
      <w:pPr>
        <w:ind w:left="360" w:hanging="360"/>
      </w:pPr>
      <w:rPr>
        <w:rFonts w:eastAsiaTheme="minorHAnsi" w:cs="Times New Roman" w:hint="default"/>
        <w:b w:val="0"/>
        <w:color w:val="auto"/>
      </w:rPr>
    </w:lvl>
    <w:lvl w:ilvl="1">
      <w:start w:val="1"/>
      <w:numFmt w:val="decimal"/>
      <w:lvlText w:val="%1.%2"/>
      <w:lvlJc w:val="left"/>
      <w:pPr>
        <w:ind w:left="360" w:hanging="360"/>
      </w:pPr>
      <w:rPr>
        <w:rFonts w:eastAsiaTheme="minorHAnsi" w:cs="Times New Roman" w:hint="default"/>
        <w:b/>
        <w:color w:val="4F81BD" w:themeColor="accent1"/>
      </w:rPr>
    </w:lvl>
    <w:lvl w:ilvl="2">
      <w:start w:val="1"/>
      <w:numFmt w:val="decimal"/>
      <w:lvlText w:val="%1.%2.%3"/>
      <w:lvlJc w:val="left"/>
      <w:pPr>
        <w:ind w:left="720" w:hanging="720"/>
      </w:pPr>
      <w:rPr>
        <w:rFonts w:eastAsiaTheme="minorHAnsi" w:cs="Times New Roman" w:hint="default"/>
        <w:b/>
        <w:color w:val="4F81BD" w:themeColor="accent1"/>
      </w:rPr>
    </w:lvl>
    <w:lvl w:ilvl="3">
      <w:start w:val="1"/>
      <w:numFmt w:val="decimal"/>
      <w:lvlText w:val="%1.%2.%3.%4"/>
      <w:lvlJc w:val="left"/>
      <w:pPr>
        <w:ind w:left="720" w:hanging="720"/>
      </w:pPr>
      <w:rPr>
        <w:rFonts w:eastAsiaTheme="minorHAnsi" w:cs="Times New Roman" w:hint="default"/>
        <w:b w:val="0"/>
        <w:color w:val="auto"/>
      </w:rPr>
    </w:lvl>
    <w:lvl w:ilvl="4">
      <w:start w:val="1"/>
      <w:numFmt w:val="decimal"/>
      <w:lvlText w:val="%1.%2.%3.%4.%5"/>
      <w:lvlJc w:val="left"/>
      <w:pPr>
        <w:ind w:left="1080" w:hanging="1080"/>
      </w:pPr>
      <w:rPr>
        <w:rFonts w:eastAsiaTheme="minorHAnsi" w:cs="Times New Roman" w:hint="default"/>
        <w:b w:val="0"/>
        <w:color w:val="auto"/>
      </w:rPr>
    </w:lvl>
    <w:lvl w:ilvl="5">
      <w:start w:val="1"/>
      <w:numFmt w:val="decimal"/>
      <w:lvlText w:val="%1.%2.%3.%4.%5.%6"/>
      <w:lvlJc w:val="left"/>
      <w:pPr>
        <w:ind w:left="1080" w:hanging="1080"/>
      </w:pPr>
      <w:rPr>
        <w:rFonts w:eastAsiaTheme="minorHAnsi" w:cs="Times New Roman" w:hint="default"/>
        <w:b w:val="0"/>
        <w:color w:val="auto"/>
      </w:rPr>
    </w:lvl>
    <w:lvl w:ilvl="6">
      <w:start w:val="1"/>
      <w:numFmt w:val="decimal"/>
      <w:lvlText w:val="%1.%2.%3.%4.%5.%6.%7"/>
      <w:lvlJc w:val="left"/>
      <w:pPr>
        <w:ind w:left="1440" w:hanging="1440"/>
      </w:pPr>
      <w:rPr>
        <w:rFonts w:eastAsiaTheme="minorHAnsi" w:cs="Times New Roman" w:hint="default"/>
        <w:b w:val="0"/>
        <w:color w:val="auto"/>
      </w:rPr>
    </w:lvl>
    <w:lvl w:ilvl="7">
      <w:start w:val="1"/>
      <w:numFmt w:val="decimal"/>
      <w:lvlText w:val="%1.%2.%3.%4.%5.%6.%7.%8"/>
      <w:lvlJc w:val="left"/>
      <w:pPr>
        <w:ind w:left="1440" w:hanging="1440"/>
      </w:pPr>
      <w:rPr>
        <w:rFonts w:eastAsiaTheme="minorHAnsi" w:cs="Times New Roman" w:hint="default"/>
        <w:b w:val="0"/>
        <w:color w:val="auto"/>
      </w:rPr>
    </w:lvl>
    <w:lvl w:ilvl="8">
      <w:start w:val="1"/>
      <w:numFmt w:val="decimal"/>
      <w:lvlText w:val="%1.%2.%3.%4.%5.%6.%7.%8.%9"/>
      <w:lvlJc w:val="left"/>
      <w:pPr>
        <w:ind w:left="1800" w:hanging="1800"/>
      </w:pPr>
      <w:rPr>
        <w:rFonts w:eastAsiaTheme="minorHAnsi" w:cs="Times New Roman" w:hint="default"/>
        <w:b w:val="0"/>
        <w:color w:val="auto"/>
      </w:rPr>
    </w:lvl>
  </w:abstractNum>
  <w:abstractNum w:abstractNumId="9" w15:restartNumberingAfterBreak="0">
    <w:nsid w:val="1BC21F8A"/>
    <w:multiLevelType w:val="hybridMultilevel"/>
    <w:tmpl w:val="541C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02A97"/>
    <w:multiLevelType w:val="hybridMultilevel"/>
    <w:tmpl w:val="5C14D5AA"/>
    <w:lvl w:ilvl="0" w:tplc="32540B4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E68CE"/>
    <w:multiLevelType w:val="hybridMultilevel"/>
    <w:tmpl w:val="6958B960"/>
    <w:lvl w:ilvl="0" w:tplc="041C000F">
      <w:start w:val="1"/>
      <w:numFmt w:val="decimal"/>
      <w:lvlText w:val="%1."/>
      <w:lvlJc w:val="left"/>
      <w:pPr>
        <w:ind w:left="502" w:hanging="360"/>
      </w:pPr>
      <w:rPr>
        <w:rFonts w:hint="default"/>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12" w15:restartNumberingAfterBreak="0">
    <w:nsid w:val="2B3A0DF0"/>
    <w:multiLevelType w:val="hybridMultilevel"/>
    <w:tmpl w:val="5F6E6F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C0BA5"/>
    <w:multiLevelType w:val="hybridMultilevel"/>
    <w:tmpl w:val="D80E3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0A4B62"/>
    <w:multiLevelType w:val="hybridMultilevel"/>
    <w:tmpl w:val="DEB8CD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27AE6"/>
    <w:multiLevelType w:val="hybridMultilevel"/>
    <w:tmpl w:val="97F2C8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F93785"/>
    <w:multiLevelType w:val="hybridMultilevel"/>
    <w:tmpl w:val="7306200C"/>
    <w:lvl w:ilvl="0" w:tplc="8CDC42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238A1"/>
    <w:multiLevelType w:val="hybridMultilevel"/>
    <w:tmpl w:val="37B205DE"/>
    <w:lvl w:ilvl="0" w:tplc="041C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15:restartNumberingAfterBreak="0">
    <w:nsid w:val="3E3F3AB8"/>
    <w:multiLevelType w:val="hybridMultilevel"/>
    <w:tmpl w:val="F22C1B56"/>
    <w:lvl w:ilvl="0" w:tplc="D228F238">
      <w:start w:val="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A42BC"/>
    <w:multiLevelType w:val="hybridMultilevel"/>
    <w:tmpl w:val="C00C44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B3AE0"/>
    <w:multiLevelType w:val="hybridMultilevel"/>
    <w:tmpl w:val="8BF0ECB2"/>
    <w:lvl w:ilvl="0" w:tplc="8364001A">
      <w:start w:val="1"/>
      <w:numFmt w:val="decimal"/>
      <w:lvlText w:val="%1."/>
      <w:lvlJc w:val="left"/>
      <w:pPr>
        <w:ind w:left="720" w:hanging="360"/>
      </w:pPr>
      <w:rPr>
        <w:rFonts w:eastAsia="Batang" w:hint="default"/>
        <w:b/>
      </w:rPr>
    </w:lvl>
    <w:lvl w:ilvl="1" w:tplc="9B465E74">
      <w:numFmt w:val="bullet"/>
      <w:lvlText w:val="•"/>
      <w:lvlJc w:val="left"/>
      <w:pPr>
        <w:tabs>
          <w:tab w:val="num" w:pos="786"/>
        </w:tabs>
        <w:ind w:left="786"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F2A39"/>
    <w:multiLevelType w:val="hybridMultilevel"/>
    <w:tmpl w:val="1E8C35D2"/>
    <w:lvl w:ilvl="0" w:tplc="322892C0">
      <w:start w:val="1"/>
      <w:numFmt w:val="decimal"/>
      <w:lvlText w:val="%1."/>
      <w:lvlJc w:val="left"/>
      <w:pPr>
        <w:ind w:left="360" w:hanging="360"/>
      </w:pPr>
      <w:rPr>
        <w:rFonts w:hint="default"/>
        <w:b w:val="0"/>
        <w:i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2" w15:restartNumberingAfterBreak="0">
    <w:nsid w:val="48093273"/>
    <w:multiLevelType w:val="hybridMultilevel"/>
    <w:tmpl w:val="5234F588"/>
    <w:lvl w:ilvl="0" w:tplc="80B0567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E124C"/>
    <w:multiLevelType w:val="hybridMultilevel"/>
    <w:tmpl w:val="507AB466"/>
    <w:lvl w:ilvl="0" w:tplc="04090009">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4" w15:restartNumberingAfterBreak="0">
    <w:nsid w:val="4CAD40C4"/>
    <w:multiLevelType w:val="hybridMultilevel"/>
    <w:tmpl w:val="BD76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D42261"/>
    <w:multiLevelType w:val="hybridMultilevel"/>
    <w:tmpl w:val="C3E6D780"/>
    <w:lvl w:ilvl="0" w:tplc="EF4E15E2">
      <w:start w:val="1"/>
      <w:numFmt w:val="decimal"/>
      <w:lvlText w:val="%1-"/>
      <w:lvlJc w:val="left"/>
      <w:pPr>
        <w:ind w:left="45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303B0"/>
    <w:multiLevelType w:val="hybridMultilevel"/>
    <w:tmpl w:val="9156F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E022B"/>
    <w:multiLevelType w:val="hybridMultilevel"/>
    <w:tmpl w:val="499E80C2"/>
    <w:lvl w:ilvl="0" w:tplc="32540B42">
      <w:numFmt w:val="bullet"/>
      <w:lvlText w:val="-"/>
      <w:lvlJc w:val="left"/>
      <w:pPr>
        <w:ind w:left="502" w:hanging="360"/>
      </w:pPr>
      <w:rPr>
        <w:rFonts w:ascii="Garamond" w:eastAsia="Times New Roman" w:hAnsi="Garamond"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6734119C"/>
    <w:multiLevelType w:val="hybridMultilevel"/>
    <w:tmpl w:val="660E8720"/>
    <w:lvl w:ilvl="0" w:tplc="6C4C019C">
      <w:start w:val="1"/>
      <w:numFmt w:val="bullet"/>
      <w:lvlText w:val="-"/>
      <w:lvlJc w:val="left"/>
      <w:pPr>
        <w:ind w:left="360" w:hanging="360"/>
      </w:pPr>
      <w:rPr>
        <w:rFonts w:ascii="Verdana" w:hAnsi="Verdana" w:hint="default"/>
      </w:rPr>
    </w:lvl>
    <w:lvl w:ilvl="1" w:tplc="041C0003" w:tentative="1">
      <w:start w:val="1"/>
      <w:numFmt w:val="bullet"/>
      <w:lvlText w:val="o"/>
      <w:lvlJc w:val="left"/>
      <w:pPr>
        <w:ind w:left="720" w:hanging="360"/>
      </w:pPr>
      <w:rPr>
        <w:rFonts w:ascii="Courier New" w:hAnsi="Courier New" w:cs="Courier New" w:hint="default"/>
      </w:rPr>
    </w:lvl>
    <w:lvl w:ilvl="2" w:tplc="041C0005" w:tentative="1">
      <w:start w:val="1"/>
      <w:numFmt w:val="bullet"/>
      <w:lvlText w:val=""/>
      <w:lvlJc w:val="left"/>
      <w:pPr>
        <w:ind w:left="1440" w:hanging="360"/>
      </w:pPr>
      <w:rPr>
        <w:rFonts w:ascii="Wingdings" w:hAnsi="Wingdings" w:hint="default"/>
      </w:rPr>
    </w:lvl>
    <w:lvl w:ilvl="3" w:tplc="041C0001" w:tentative="1">
      <w:start w:val="1"/>
      <w:numFmt w:val="bullet"/>
      <w:lvlText w:val=""/>
      <w:lvlJc w:val="left"/>
      <w:pPr>
        <w:ind w:left="2160" w:hanging="360"/>
      </w:pPr>
      <w:rPr>
        <w:rFonts w:ascii="Symbol" w:hAnsi="Symbol" w:hint="default"/>
      </w:rPr>
    </w:lvl>
    <w:lvl w:ilvl="4" w:tplc="041C0003" w:tentative="1">
      <w:start w:val="1"/>
      <w:numFmt w:val="bullet"/>
      <w:lvlText w:val="o"/>
      <w:lvlJc w:val="left"/>
      <w:pPr>
        <w:ind w:left="2880" w:hanging="360"/>
      </w:pPr>
      <w:rPr>
        <w:rFonts w:ascii="Courier New" w:hAnsi="Courier New" w:cs="Courier New" w:hint="default"/>
      </w:rPr>
    </w:lvl>
    <w:lvl w:ilvl="5" w:tplc="041C0005" w:tentative="1">
      <w:start w:val="1"/>
      <w:numFmt w:val="bullet"/>
      <w:lvlText w:val=""/>
      <w:lvlJc w:val="left"/>
      <w:pPr>
        <w:ind w:left="3600" w:hanging="360"/>
      </w:pPr>
      <w:rPr>
        <w:rFonts w:ascii="Wingdings" w:hAnsi="Wingdings" w:hint="default"/>
      </w:rPr>
    </w:lvl>
    <w:lvl w:ilvl="6" w:tplc="041C0001" w:tentative="1">
      <w:start w:val="1"/>
      <w:numFmt w:val="bullet"/>
      <w:lvlText w:val=""/>
      <w:lvlJc w:val="left"/>
      <w:pPr>
        <w:ind w:left="4320" w:hanging="360"/>
      </w:pPr>
      <w:rPr>
        <w:rFonts w:ascii="Symbol" w:hAnsi="Symbol" w:hint="default"/>
      </w:rPr>
    </w:lvl>
    <w:lvl w:ilvl="7" w:tplc="041C0003" w:tentative="1">
      <w:start w:val="1"/>
      <w:numFmt w:val="bullet"/>
      <w:lvlText w:val="o"/>
      <w:lvlJc w:val="left"/>
      <w:pPr>
        <w:ind w:left="5040" w:hanging="360"/>
      </w:pPr>
      <w:rPr>
        <w:rFonts w:ascii="Courier New" w:hAnsi="Courier New" w:cs="Courier New" w:hint="default"/>
      </w:rPr>
    </w:lvl>
    <w:lvl w:ilvl="8" w:tplc="041C0005" w:tentative="1">
      <w:start w:val="1"/>
      <w:numFmt w:val="bullet"/>
      <w:lvlText w:val=""/>
      <w:lvlJc w:val="left"/>
      <w:pPr>
        <w:ind w:left="5760" w:hanging="360"/>
      </w:pPr>
      <w:rPr>
        <w:rFonts w:ascii="Wingdings" w:hAnsi="Wingdings" w:hint="default"/>
      </w:rPr>
    </w:lvl>
  </w:abstractNum>
  <w:abstractNum w:abstractNumId="29" w15:restartNumberingAfterBreak="0">
    <w:nsid w:val="6D1752ED"/>
    <w:multiLevelType w:val="hybridMultilevel"/>
    <w:tmpl w:val="87E0058C"/>
    <w:lvl w:ilvl="0" w:tplc="14F09614">
      <w:start w:val="1"/>
      <w:numFmt w:val="lowerLetter"/>
      <w:lvlText w:val="%1."/>
      <w:lvlJc w:val="left"/>
      <w:pPr>
        <w:ind w:left="1080" w:hanging="360"/>
      </w:pPr>
      <w:rPr>
        <w:rFonts w:ascii="Times New Roman" w:eastAsiaTheme="majorEastAsia"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B93D1B"/>
    <w:multiLevelType w:val="hybridMultilevel"/>
    <w:tmpl w:val="5C2447A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A51F84"/>
    <w:multiLevelType w:val="hybridMultilevel"/>
    <w:tmpl w:val="615C991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6045DF"/>
    <w:multiLevelType w:val="hybridMultilevel"/>
    <w:tmpl w:val="ED5686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E7019"/>
    <w:multiLevelType w:val="hybridMultilevel"/>
    <w:tmpl w:val="739EFCD8"/>
    <w:lvl w:ilvl="0" w:tplc="80B05672">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4" w15:restartNumberingAfterBreak="0">
    <w:nsid w:val="7D5F79DF"/>
    <w:multiLevelType w:val="hybridMultilevel"/>
    <w:tmpl w:val="4CD4B0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7072B"/>
    <w:multiLevelType w:val="hybridMultilevel"/>
    <w:tmpl w:val="75EC3E22"/>
    <w:lvl w:ilvl="0" w:tplc="6C4C019C">
      <w:start w:val="1"/>
      <w:numFmt w:val="bullet"/>
      <w:lvlText w:val="-"/>
      <w:lvlJc w:val="left"/>
      <w:pPr>
        <w:ind w:left="360" w:hanging="360"/>
      </w:pPr>
      <w:rPr>
        <w:rFonts w:ascii="Verdana" w:hAnsi="Verdana"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abstractNumId w:val="23"/>
  </w:num>
  <w:num w:numId="2">
    <w:abstractNumId w:val="12"/>
  </w:num>
  <w:num w:numId="3">
    <w:abstractNumId w:val="20"/>
  </w:num>
  <w:num w:numId="4">
    <w:abstractNumId w:val="26"/>
  </w:num>
  <w:num w:numId="5">
    <w:abstractNumId w:val="25"/>
  </w:num>
  <w:num w:numId="6">
    <w:abstractNumId w:val="15"/>
  </w:num>
  <w:num w:numId="7">
    <w:abstractNumId w:val="17"/>
  </w:num>
  <w:num w:numId="8">
    <w:abstractNumId w:val="35"/>
  </w:num>
  <w:num w:numId="9">
    <w:abstractNumId w:val="2"/>
  </w:num>
  <w:num w:numId="10">
    <w:abstractNumId w:val="34"/>
  </w:num>
  <w:num w:numId="11">
    <w:abstractNumId w:val="1"/>
  </w:num>
  <w:num w:numId="12">
    <w:abstractNumId w:val="11"/>
  </w:num>
  <w:num w:numId="13">
    <w:abstractNumId w:val="14"/>
  </w:num>
  <w:num w:numId="14">
    <w:abstractNumId w:val="21"/>
  </w:num>
  <w:num w:numId="15">
    <w:abstractNumId w:val="3"/>
  </w:num>
  <w:num w:numId="16">
    <w:abstractNumId w:val="28"/>
  </w:num>
  <w:num w:numId="17">
    <w:abstractNumId w:val="16"/>
  </w:num>
  <w:num w:numId="18">
    <w:abstractNumId w:val="6"/>
  </w:num>
  <w:num w:numId="19">
    <w:abstractNumId w:val="4"/>
  </w:num>
  <w:num w:numId="20">
    <w:abstractNumId w:val="30"/>
  </w:num>
  <w:num w:numId="21">
    <w:abstractNumId w:val="0"/>
  </w:num>
  <w:num w:numId="22">
    <w:abstractNumId w:val="19"/>
  </w:num>
  <w:num w:numId="23">
    <w:abstractNumId w:val="29"/>
  </w:num>
  <w:num w:numId="24">
    <w:abstractNumId w:val="33"/>
  </w:num>
  <w:num w:numId="25">
    <w:abstractNumId w:val="22"/>
  </w:num>
  <w:num w:numId="26">
    <w:abstractNumId w:val="13"/>
  </w:num>
  <w:num w:numId="27">
    <w:abstractNumId w:val="5"/>
  </w:num>
  <w:num w:numId="28">
    <w:abstractNumId w:val="8"/>
  </w:num>
  <w:num w:numId="29">
    <w:abstractNumId w:val="27"/>
  </w:num>
  <w:num w:numId="30">
    <w:abstractNumId w:val="10"/>
  </w:num>
  <w:num w:numId="31">
    <w:abstractNumId w:val="24"/>
  </w:num>
  <w:num w:numId="32">
    <w:abstractNumId w:val="9"/>
  </w:num>
  <w:num w:numId="33">
    <w:abstractNumId w:val="7"/>
  </w:num>
  <w:num w:numId="34">
    <w:abstractNumId w:val="18"/>
  </w:num>
  <w:num w:numId="35">
    <w:abstractNumId w:val="31"/>
  </w:num>
  <w:num w:numId="36">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2D"/>
    <w:rsid w:val="00004B0D"/>
    <w:rsid w:val="00006A86"/>
    <w:rsid w:val="00025DE5"/>
    <w:rsid w:val="00033CAB"/>
    <w:rsid w:val="00037310"/>
    <w:rsid w:val="00042D83"/>
    <w:rsid w:val="00051B79"/>
    <w:rsid w:val="00054E38"/>
    <w:rsid w:val="00056231"/>
    <w:rsid w:val="00062445"/>
    <w:rsid w:val="00071662"/>
    <w:rsid w:val="00075913"/>
    <w:rsid w:val="0008276B"/>
    <w:rsid w:val="0008679C"/>
    <w:rsid w:val="00090774"/>
    <w:rsid w:val="00090E89"/>
    <w:rsid w:val="000A1480"/>
    <w:rsid w:val="000B6843"/>
    <w:rsid w:val="000D005B"/>
    <w:rsid w:val="000D1016"/>
    <w:rsid w:val="000E3823"/>
    <w:rsid w:val="000F0577"/>
    <w:rsid w:val="000F2C7F"/>
    <w:rsid w:val="000F5EC4"/>
    <w:rsid w:val="000F7C1E"/>
    <w:rsid w:val="001038A8"/>
    <w:rsid w:val="00103D5B"/>
    <w:rsid w:val="001041C7"/>
    <w:rsid w:val="00106CA5"/>
    <w:rsid w:val="001133CC"/>
    <w:rsid w:val="001150AF"/>
    <w:rsid w:val="00116138"/>
    <w:rsid w:val="00116929"/>
    <w:rsid w:val="00121A75"/>
    <w:rsid w:val="001237AF"/>
    <w:rsid w:val="001277D3"/>
    <w:rsid w:val="0013264C"/>
    <w:rsid w:val="0014151B"/>
    <w:rsid w:val="00142DA4"/>
    <w:rsid w:val="00144A3E"/>
    <w:rsid w:val="00144A44"/>
    <w:rsid w:val="00145E50"/>
    <w:rsid w:val="001511AE"/>
    <w:rsid w:val="00153F45"/>
    <w:rsid w:val="00156666"/>
    <w:rsid w:val="00167DF4"/>
    <w:rsid w:val="001720A5"/>
    <w:rsid w:val="00172FD6"/>
    <w:rsid w:val="00175EF3"/>
    <w:rsid w:val="00180FD0"/>
    <w:rsid w:val="00186993"/>
    <w:rsid w:val="00190373"/>
    <w:rsid w:val="001A0934"/>
    <w:rsid w:val="001A6E30"/>
    <w:rsid w:val="001B183B"/>
    <w:rsid w:val="001C0E0A"/>
    <w:rsid w:val="001C324F"/>
    <w:rsid w:val="001C76F8"/>
    <w:rsid w:val="001D6BB1"/>
    <w:rsid w:val="001D6C97"/>
    <w:rsid w:val="001E43FA"/>
    <w:rsid w:val="001E50D2"/>
    <w:rsid w:val="001E62B6"/>
    <w:rsid w:val="001E7A2B"/>
    <w:rsid w:val="001F2826"/>
    <w:rsid w:val="001F2A99"/>
    <w:rsid w:val="001F3088"/>
    <w:rsid w:val="001F689D"/>
    <w:rsid w:val="002053C0"/>
    <w:rsid w:val="00207B11"/>
    <w:rsid w:val="00225F82"/>
    <w:rsid w:val="002307E7"/>
    <w:rsid w:val="0023101E"/>
    <w:rsid w:val="00232C93"/>
    <w:rsid w:val="002355F6"/>
    <w:rsid w:val="002413A7"/>
    <w:rsid w:val="00242270"/>
    <w:rsid w:val="00242F25"/>
    <w:rsid w:val="00243728"/>
    <w:rsid w:val="002444C4"/>
    <w:rsid w:val="00246061"/>
    <w:rsid w:val="00252E85"/>
    <w:rsid w:val="002623A8"/>
    <w:rsid w:val="002631A5"/>
    <w:rsid w:val="002651B7"/>
    <w:rsid w:val="002733CC"/>
    <w:rsid w:val="002752D4"/>
    <w:rsid w:val="002816AD"/>
    <w:rsid w:val="00291B97"/>
    <w:rsid w:val="0029582B"/>
    <w:rsid w:val="002A0F80"/>
    <w:rsid w:val="002A3745"/>
    <w:rsid w:val="002A3BD9"/>
    <w:rsid w:val="002A469E"/>
    <w:rsid w:val="002A57A7"/>
    <w:rsid w:val="002B325B"/>
    <w:rsid w:val="002B5C23"/>
    <w:rsid w:val="002B76D2"/>
    <w:rsid w:val="002B7965"/>
    <w:rsid w:val="002C4ED1"/>
    <w:rsid w:val="002D1EA9"/>
    <w:rsid w:val="002D5608"/>
    <w:rsid w:val="002D7683"/>
    <w:rsid w:val="002E7F4E"/>
    <w:rsid w:val="002F20E2"/>
    <w:rsid w:val="002F2736"/>
    <w:rsid w:val="002F53B8"/>
    <w:rsid w:val="002F7CB0"/>
    <w:rsid w:val="00311045"/>
    <w:rsid w:val="00313ADB"/>
    <w:rsid w:val="00321271"/>
    <w:rsid w:val="003262F0"/>
    <w:rsid w:val="003318E3"/>
    <w:rsid w:val="00341CCD"/>
    <w:rsid w:val="00342679"/>
    <w:rsid w:val="003433CE"/>
    <w:rsid w:val="00345F47"/>
    <w:rsid w:val="003467D1"/>
    <w:rsid w:val="00355F8A"/>
    <w:rsid w:val="00356762"/>
    <w:rsid w:val="00357E39"/>
    <w:rsid w:val="003651E2"/>
    <w:rsid w:val="003672D8"/>
    <w:rsid w:val="00373F7F"/>
    <w:rsid w:val="00381869"/>
    <w:rsid w:val="00382535"/>
    <w:rsid w:val="00385F1D"/>
    <w:rsid w:val="00397223"/>
    <w:rsid w:val="003A22F6"/>
    <w:rsid w:val="003A33F8"/>
    <w:rsid w:val="003A4554"/>
    <w:rsid w:val="003A5DE9"/>
    <w:rsid w:val="003B469F"/>
    <w:rsid w:val="003C4982"/>
    <w:rsid w:val="003D1B50"/>
    <w:rsid w:val="003D27D2"/>
    <w:rsid w:val="003E1CF4"/>
    <w:rsid w:val="003E1FC1"/>
    <w:rsid w:val="003E22B5"/>
    <w:rsid w:val="003E2368"/>
    <w:rsid w:val="003E3CAB"/>
    <w:rsid w:val="003F2259"/>
    <w:rsid w:val="003F3456"/>
    <w:rsid w:val="004001A5"/>
    <w:rsid w:val="00401FB3"/>
    <w:rsid w:val="00430C5A"/>
    <w:rsid w:val="004329D1"/>
    <w:rsid w:val="00434D7E"/>
    <w:rsid w:val="0043552A"/>
    <w:rsid w:val="00436C33"/>
    <w:rsid w:val="00441F14"/>
    <w:rsid w:val="00447A3C"/>
    <w:rsid w:val="00456A4C"/>
    <w:rsid w:val="0046632E"/>
    <w:rsid w:val="004732BD"/>
    <w:rsid w:val="00475B8F"/>
    <w:rsid w:val="0048228C"/>
    <w:rsid w:val="00487D8D"/>
    <w:rsid w:val="00490279"/>
    <w:rsid w:val="00490452"/>
    <w:rsid w:val="00491821"/>
    <w:rsid w:val="004919E8"/>
    <w:rsid w:val="00495D66"/>
    <w:rsid w:val="004A1B74"/>
    <w:rsid w:val="004B1AAE"/>
    <w:rsid w:val="004B32B7"/>
    <w:rsid w:val="004C1BA7"/>
    <w:rsid w:val="004C7568"/>
    <w:rsid w:val="004D0754"/>
    <w:rsid w:val="004D1682"/>
    <w:rsid w:val="004D2095"/>
    <w:rsid w:val="004D7CC9"/>
    <w:rsid w:val="004F5EBD"/>
    <w:rsid w:val="005010E7"/>
    <w:rsid w:val="0050708D"/>
    <w:rsid w:val="0051013C"/>
    <w:rsid w:val="00511183"/>
    <w:rsid w:val="0051156C"/>
    <w:rsid w:val="0052323A"/>
    <w:rsid w:val="0052360C"/>
    <w:rsid w:val="0053465F"/>
    <w:rsid w:val="00535B32"/>
    <w:rsid w:val="00536A9F"/>
    <w:rsid w:val="00536D6A"/>
    <w:rsid w:val="00545CA9"/>
    <w:rsid w:val="0054636E"/>
    <w:rsid w:val="005468A6"/>
    <w:rsid w:val="005508D8"/>
    <w:rsid w:val="005537C8"/>
    <w:rsid w:val="00554536"/>
    <w:rsid w:val="00556F85"/>
    <w:rsid w:val="00562AA7"/>
    <w:rsid w:val="005725F0"/>
    <w:rsid w:val="00575816"/>
    <w:rsid w:val="00583CF8"/>
    <w:rsid w:val="005922FF"/>
    <w:rsid w:val="00594E25"/>
    <w:rsid w:val="005A2E96"/>
    <w:rsid w:val="005A6879"/>
    <w:rsid w:val="005B1C04"/>
    <w:rsid w:val="005B2398"/>
    <w:rsid w:val="005B3A4B"/>
    <w:rsid w:val="005C6C4D"/>
    <w:rsid w:val="005E40EF"/>
    <w:rsid w:val="005F2CE4"/>
    <w:rsid w:val="006045BF"/>
    <w:rsid w:val="00605778"/>
    <w:rsid w:val="00613520"/>
    <w:rsid w:val="006249F7"/>
    <w:rsid w:val="006324AE"/>
    <w:rsid w:val="006350B9"/>
    <w:rsid w:val="00651741"/>
    <w:rsid w:val="00652E8D"/>
    <w:rsid w:val="0065380F"/>
    <w:rsid w:val="006546E8"/>
    <w:rsid w:val="006560A0"/>
    <w:rsid w:val="006566C8"/>
    <w:rsid w:val="00662C70"/>
    <w:rsid w:val="0066303F"/>
    <w:rsid w:val="00663DBC"/>
    <w:rsid w:val="00665FC2"/>
    <w:rsid w:val="00667B75"/>
    <w:rsid w:val="00667EF5"/>
    <w:rsid w:val="006760C0"/>
    <w:rsid w:val="00681900"/>
    <w:rsid w:val="006A0A02"/>
    <w:rsid w:val="006A75FB"/>
    <w:rsid w:val="006B05A4"/>
    <w:rsid w:val="006B1688"/>
    <w:rsid w:val="006B43FE"/>
    <w:rsid w:val="006B4975"/>
    <w:rsid w:val="006C1A25"/>
    <w:rsid w:val="006C3F65"/>
    <w:rsid w:val="006C4787"/>
    <w:rsid w:val="006C5ED0"/>
    <w:rsid w:val="006C7603"/>
    <w:rsid w:val="006D0013"/>
    <w:rsid w:val="006D4943"/>
    <w:rsid w:val="006D77C1"/>
    <w:rsid w:val="006E1BFB"/>
    <w:rsid w:val="006E28BF"/>
    <w:rsid w:val="006E43BC"/>
    <w:rsid w:val="006E6E9E"/>
    <w:rsid w:val="006F5402"/>
    <w:rsid w:val="00706405"/>
    <w:rsid w:val="00712FEF"/>
    <w:rsid w:val="00717282"/>
    <w:rsid w:val="0073050B"/>
    <w:rsid w:val="00742054"/>
    <w:rsid w:val="0074505B"/>
    <w:rsid w:val="007540EE"/>
    <w:rsid w:val="00754285"/>
    <w:rsid w:val="007578F5"/>
    <w:rsid w:val="00762000"/>
    <w:rsid w:val="007648BC"/>
    <w:rsid w:val="0077481A"/>
    <w:rsid w:val="007757C8"/>
    <w:rsid w:val="00775DFA"/>
    <w:rsid w:val="0077621E"/>
    <w:rsid w:val="00782FDE"/>
    <w:rsid w:val="00785604"/>
    <w:rsid w:val="0078754E"/>
    <w:rsid w:val="007879EC"/>
    <w:rsid w:val="00790091"/>
    <w:rsid w:val="00793E8F"/>
    <w:rsid w:val="007979E7"/>
    <w:rsid w:val="007A04DB"/>
    <w:rsid w:val="007B16CC"/>
    <w:rsid w:val="007B198B"/>
    <w:rsid w:val="007B261E"/>
    <w:rsid w:val="007C417D"/>
    <w:rsid w:val="007C4AEB"/>
    <w:rsid w:val="007D4692"/>
    <w:rsid w:val="007D66B3"/>
    <w:rsid w:val="007E06B8"/>
    <w:rsid w:val="007E5E8C"/>
    <w:rsid w:val="007F44D7"/>
    <w:rsid w:val="007F68ED"/>
    <w:rsid w:val="007F7ECE"/>
    <w:rsid w:val="008003A3"/>
    <w:rsid w:val="00800E54"/>
    <w:rsid w:val="00800EDE"/>
    <w:rsid w:val="008011E5"/>
    <w:rsid w:val="008017B4"/>
    <w:rsid w:val="00802A50"/>
    <w:rsid w:val="00803AB1"/>
    <w:rsid w:val="008109FA"/>
    <w:rsid w:val="008111B8"/>
    <w:rsid w:val="00817046"/>
    <w:rsid w:val="0082023B"/>
    <w:rsid w:val="0082582B"/>
    <w:rsid w:val="00826FEC"/>
    <w:rsid w:val="00833A91"/>
    <w:rsid w:val="00837383"/>
    <w:rsid w:val="0084017A"/>
    <w:rsid w:val="00847462"/>
    <w:rsid w:val="00861E98"/>
    <w:rsid w:val="008629BB"/>
    <w:rsid w:val="008637BE"/>
    <w:rsid w:val="00864C93"/>
    <w:rsid w:val="00864D7E"/>
    <w:rsid w:val="00866C61"/>
    <w:rsid w:val="00872858"/>
    <w:rsid w:val="00873544"/>
    <w:rsid w:val="0087735F"/>
    <w:rsid w:val="008776B5"/>
    <w:rsid w:val="008802D5"/>
    <w:rsid w:val="00883F19"/>
    <w:rsid w:val="00885ACA"/>
    <w:rsid w:val="008872CC"/>
    <w:rsid w:val="00890F90"/>
    <w:rsid w:val="00891D1A"/>
    <w:rsid w:val="00894ECD"/>
    <w:rsid w:val="0089631C"/>
    <w:rsid w:val="00896C32"/>
    <w:rsid w:val="008A4A6C"/>
    <w:rsid w:val="008B5BA4"/>
    <w:rsid w:val="008C1D0F"/>
    <w:rsid w:val="008C1D74"/>
    <w:rsid w:val="008C324B"/>
    <w:rsid w:val="008D1D46"/>
    <w:rsid w:val="008E2513"/>
    <w:rsid w:val="008E6199"/>
    <w:rsid w:val="008F2362"/>
    <w:rsid w:val="008F241F"/>
    <w:rsid w:val="008F5D98"/>
    <w:rsid w:val="008F6220"/>
    <w:rsid w:val="008F6A46"/>
    <w:rsid w:val="009013CB"/>
    <w:rsid w:val="00905952"/>
    <w:rsid w:val="00911613"/>
    <w:rsid w:val="00912C37"/>
    <w:rsid w:val="00912D44"/>
    <w:rsid w:val="00915D87"/>
    <w:rsid w:val="009164DF"/>
    <w:rsid w:val="00916E6D"/>
    <w:rsid w:val="00922FF8"/>
    <w:rsid w:val="00923364"/>
    <w:rsid w:val="0092613A"/>
    <w:rsid w:val="009332BA"/>
    <w:rsid w:val="00936336"/>
    <w:rsid w:val="00937188"/>
    <w:rsid w:val="009418FB"/>
    <w:rsid w:val="0094376D"/>
    <w:rsid w:val="009518B7"/>
    <w:rsid w:val="00952853"/>
    <w:rsid w:val="00964DE4"/>
    <w:rsid w:val="00972864"/>
    <w:rsid w:val="00977069"/>
    <w:rsid w:val="009830F6"/>
    <w:rsid w:val="00995145"/>
    <w:rsid w:val="00995F3A"/>
    <w:rsid w:val="009A1190"/>
    <w:rsid w:val="009A2F8D"/>
    <w:rsid w:val="009A3375"/>
    <w:rsid w:val="009A3395"/>
    <w:rsid w:val="009A6601"/>
    <w:rsid w:val="009B382B"/>
    <w:rsid w:val="009C4225"/>
    <w:rsid w:val="009E16CB"/>
    <w:rsid w:val="009E3868"/>
    <w:rsid w:val="009F04F1"/>
    <w:rsid w:val="009F611F"/>
    <w:rsid w:val="009F67BD"/>
    <w:rsid w:val="009F7E26"/>
    <w:rsid w:val="00A007EF"/>
    <w:rsid w:val="00A020F4"/>
    <w:rsid w:val="00A026DB"/>
    <w:rsid w:val="00A039B4"/>
    <w:rsid w:val="00A10EC5"/>
    <w:rsid w:val="00A15680"/>
    <w:rsid w:val="00A17DDB"/>
    <w:rsid w:val="00A21D52"/>
    <w:rsid w:val="00A31D41"/>
    <w:rsid w:val="00A323F0"/>
    <w:rsid w:val="00A33014"/>
    <w:rsid w:val="00A35B40"/>
    <w:rsid w:val="00A363AB"/>
    <w:rsid w:val="00A37590"/>
    <w:rsid w:val="00A403F9"/>
    <w:rsid w:val="00A4360A"/>
    <w:rsid w:val="00A448AE"/>
    <w:rsid w:val="00A60909"/>
    <w:rsid w:val="00A708BD"/>
    <w:rsid w:val="00A74D13"/>
    <w:rsid w:val="00A80E76"/>
    <w:rsid w:val="00A82827"/>
    <w:rsid w:val="00A90A1F"/>
    <w:rsid w:val="00AA1988"/>
    <w:rsid w:val="00AA34BA"/>
    <w:rsid w:val="00AA702F"/>
    <w:rsid w:val="00AA711C"/>
    <w:rsid w:val="00AA7B1E"/>
    <w:rsid w:val="00AA7CDD"/>
    <w:rsid w:val="00AB11E7"/>
    <w:rsid w:val="00AB3451"/>
    <w:rsid w:val="00AB5728"/>
    <w:rsid w:val="00AD07EF"/>
    <w:rsid w:val="00AD69F3"/>
    <w:rsid w:val="00AD6F43"/>
    <w:rsid w:val="00AE04B4"/>
    <w:rsid w:val="00AE3A52"/>
    <w:rsid w:val="00B06702"/>
    <w:rsid w:val="00B17F73"/>
    <w:rsid w:val="00B23928"/>
    <w:rsid w:val="00B242EA"/>
    <w:rsid w:val="00B322CC"/>
    <w:rsid w:val="00B45BDE"/>
    <w:rsid w:val="00B4607D"/>
    <w:rsid w:val="00B46BCF"/>
    <w:rsid w:val="00B62405"/>
    <w:rsid w:val="00B67628"/>
    <w:rsid w:val="00B70117"/>
    <w:rsid w:val="00B720E4"/>
    <w:rsid w:val="00B720FA"/>
    <w:rsid w:val="00B77E89"/>
    <w:rsid w:val="00B80D34"/>
    <w:rsid w:val="00B82F64"/>
    <w:rsid w:val="00B902A6"/>
    <w:rsid w:val="00B92571"/>
    <w:rsid w:val="00B9634F"/>
    <w:rsid w:val="00BA3973"/>
    <w:rsid w:val="00BA45FD"/>
    <w:rsid w:val="00BA5F9B"/>
    <w:rsid w:val="00BA690D"/>
    <w:rsid w:val="00BB1F3D"/>
    <w:rsid w:val="00BB2EF3"/>
    <w:rsid w:val="00BB40B2"/>
    <w:rsid w:val="00BC2353"/>
    <w:rsid w:val="00BC4E16"/>
    <w:rsid w:val="00BD581E"/>
    <w:rsid w:val="00BD793E"/>
    <w:rsid w:val="00BD7AF3"/>
    <w:rsid w:val="00BE059C"/>
    <w:rsid w:val="00BE05DA"/>
    <w:rsid w:val="00BF2C38"/>
    <w:rsid w:val="00BF3680"/>
    <w:rsid w:val="00C020F0"/>
    <w:rsid w:val="00C0549D"/>
    <w:rsid w:val="00C05691"/>
    <w:rsid w:val="00C140E5"/>
    <w:rsid w:val="00C15DE6"/>
    <w:rsid w:val="00C2423E"/>
    <w:rsid w:val="00C26AE3"/>
    <w:rsid w:val="00C349F5"/>
    <w:rsid w:val="00C34D0B"/>
    <w:rsid w:val="00C34E19"/>
    <w:rsid w:val="00C37E05"/>
    <w:rsid w:val="00C400D3"/>
    <w:rsid w:val="00C40CA7"/>
    <w:rsid w:val="00C42C55"/>
    <w:rsid w:val="00C46F97"/>
    <w:rsid w:val="00C52C6B"/>
    <w:rsid w:val="00C53018"/>
    <w:rsid w:val="00C539D0"/>
    <w:rsid w:val="00C637F4"/>
    <w:rsid w:val="00C64D27"/>
    <w:rsid w:val="00C66D70"/>
    <w:rsid w:val="00C67E33"/>
    <w:rsid w:val="00C71338"/>
    <w:rsid w:val="00C826C9"/>
    <w:rsid w:val="00C85F29"/>
    <w:rsid w:val="00C9054B"/>
    <w:rsid w:val="00C96785"/>
    <w:rsid w:val="00CA003F"/>
    <w:rsid w:val="00CA1DA9"/>
    <w:rsid w:val="00CA3D5C"/>
    <w:rsid w:val="00CA5608"/>
    <w:rsid w:val="00CB22E1"/>
    <w:rsid w:val="00CC786E"/>
    <w:rsid w:val="00CE1148"/>
    <w:rsid w:val="00CE171C"/>
    <w:rsid w:val="00CE26A1"/>
    <w:rsid w:val="00CF1766"/>
    <w:rsid w:val="00CF30B8"/>
    <w:rsid w:val="00D051E3"/>
    <w:rsid w:val="00D06DF1"/>
    <w:rsid w:val="00D123EB"/>
    <w:rsid w:val="00D15261"/>
    <w:rsid w:val="00D1617D"/>
    <w:rsid w:val="00D22ADF"/>
    <w:rsid w:val="00D24FE7"/>
    <w:rsid w:val="00D26648"/>
    <w:rsid w:val="00D30B3A"/>
    <w:rsid w:val="00D34F27"/>
    <w:rsid w:val="00D35561"/>
    <w:rsid w:val="00D36C6A"/>
    <w:rsid w:val="00D37354"/>
    <w:rsid w:val="00D37646"/>
    <w:rsid w:val="00D442D0"/>
    <w:rsid w:val="00D52C6A"/>
    <w:rsid w:val="00D5388D"/>
    <w:rsid w:val="00D538B7"/>
    <w:rsid w:val="00D67FE7"/>
    <w:rsid w:val="00DA1F05"/>
    <w:rsid w:val="00DA5254"/>
    <w:rsid w:val="00DA62C4"/>
    <w:rsid w:val="00DA6935"/>
    <w:rsid w:val="00DB25EB"/>
    <w:rsid w:val="00DB3A6F"/>
    <w:rsid w:val="00DB3FFE"/>
    <w:rsid w:val="00DC54E4"/>
    <w:rsid w:val="00DD07BD"/>
    <w:rsid w:val="00DD3A37"/>
    <w:rsid w:val="00DD591A"/>
    <w:rsid w:val="00DD7639"/>
    <w:rsid w:val="00DE3052"/>
    <w:rsid w:val="00DE4065"/>
    <w:rsid w:val="00DF3C1D"/>
    <w:rsid w:val="00DF5957"/>
    <w:rsid w:val="00DF6E6A"/>
    <w:rsid w:val="00E00124"/>
    <w:rsid w:val="00E02FC8"/>
    <w:rsid w:val="00E0425A"/>
    <w:rsid w:val="00E042DA"/>
    <w:rsid w:val="00E04760"/>
    <w:rsid w:val="00E07A12"/>
    <w:rsid w:val="00E133F5"/>
    <w:rsid w:val="00E148ED"/>
    <w:rsid w:val="00E2340E"/>
    <w:rsid w:val="00E33BEF"/>
    <w:rsid w:val="00E34E82"/>
    <w:rsid w:val="00E43105"/>
    <w:rsid w:val="00E475F2"/>
    <w:rsid w:val="00E50398"/>
    <w:rsid w:val="00E5134C"/>
    <w:rsid w:val="00E52BE0"/>
    <w:rsid w:val="00E56E6D"/>
    <w:rsid w:val="00E664C0"/>
    <w:rsid w:val="00E72E7A"/>
    <w:rsid w:val="00E83F4B"/>
    <w:rsid w:val="00E9487F"/>
    <w:rsid w:val="00E9613D"/>
    <w:rsid w:val="00EA0D51"/>
    <w:rsid w:val="00EA0FC1"/>
    <w:rsid w:val="00EA2A68"/>
    <w:rsid w:val="00EB0947"/>
    <w:rsid w:val="00EB2788"/>
    <w:rsid w:val="00EB3705"/>
    <w:rsid w:val="00EC26A2"/>
    <w:rsid w:val="00ED3E8E"/>
    <w:rsid w:val="00EE772D"/>
    <w:rsid w:val="00EF7B85"/>
    <w:rsid w:val="00F03B1A"/>
    <w:rsid w:val="00F05DE6"/>
    <w:rsid w:val="00F11F1F"/>
    <w:rsid w:val="00F144D4"/>
    <w:rsid w:val="00F14B83"/>
    <w:rsid w:val="00F17139"/>
    <w:rsid w:val="00F217D9"/>
    <w:rsid w:val="00F26577"/>
    <w:rsid w:val="00F2669D"/>
    <w:rsid w:val="00F30333"/>
    <w:rsid w:val="00F3159A"/>
    <w:rsid w:val="00F3420C"/>
    <w:rsid w:val="00F409AD"/>
    <w:rsid w:val="00F40EF6"/>
    <w:rsid w:val="00F47494"/>
    <w:rsid w:val="00F51557"/>
    <w:rsid w:val="00F52608"/>
    <w:rsid w:val="00F53F4B"/>
    <w:rsid w:val="00F557BF"/>
    <w:rsid w:val="00F574C7"/>
    <w:rsid w:val="00F61A2F"/>
    <w:rsid w:val="00F6598D"/>
    <w:rsid w:val="00F66059"/>
    <w:rsid w:val="00F66764"/>
    <w:rsid w:val="00F674E3"/>
    <w:rsid w:val="00F74B77"/>
    <w:rsid w:val="00F87A2A"/>
    <w:rsid w:val="00F95539"/>
    <w:rsid w:val="00F97851"/>
    <w:rsid w:val="00FA2D55"/>
    <w:rsid w:val="00FB08A2"/>
    <w:rsid w:val="00FB16FD"/>
    <w:rsid w:val="00FB4E1E"/>
    <w:rsid w:val="00FC1C84"/>
    <w:rsid w:val="00FC27B4"/>
    <w:rsid w:val="00FC4BD7"/>
    <w:rsid w:val="00FD14E7"/>
    <w:rsid w:val="00FD427A"/>
    <w:rsid w:val="00FD5AFC"/>
    <w:rsid w:val="00FE70F7"/>
    <w:rsid w:val="00FF72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F4BF3"/>
  <w15:docId w15:val="{09AF6143-029A-45AC-BF4E-194BC73C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2D"/>
    <w:pPr>
      <w:spacing w:after="0" w:line="240" w:lineRule="auto"/>
    </w:pPr>
    <w:rPr>
      <w:rFonts w:ascii="Times New Roman" w:eastAsia="Times New Roman" w:hAnsi="Times New Roman" w:cs="Times New Roman"/>
      <w:sz w:val="24"/>
      <w:szCs w:val="24"/>
      <w:lang w:val="sq-AL" w:eastAsia="sq-AL"/>
    </w:rPr>
  </w:style>
  <w:style w:type="paragraph" w:styleId="Heading1">
    <w:name w:val="heading 1"/>
    <w:basedOn w:val="Normal"/>
    <w:next w:val="Normal"/>
    <w:link w:val="Heading1Char"/>
    <w:uiPriority w:val="9"/>
    <w:qFormat/>
    <w:rsid w:val="00B77E89"/>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B70117"/>
    <w:pPr>
      <w:keepNext/>
      <w:outlineLvl w:val="1"/>
    </w:pPr>
    <w:rPr>
      <w:b/>
      <w:sz w:val="28"/>
      <w:lang w:eastAsia="en-US"/>
    </w:rPr>
  </w:style>
  <w:style w:type="paragraph" w:styleId="Heading3">
    <w:name w:val="heading 3"/>
    <w:basedOn w:val="Normal"/>
    <w:next w:val="Normal"/>
    <w:link w:val="Heading3Char"/>
    <w:uiPriority w:val="9"/>
    <w:unhideWhenUsed/>
    <w:qFormat/>
    <w:rsid w:val="003A33F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unhideWhenUsed/>
    <w:qFormat/>
    <w:rsid w:val="006C7603"/>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EE772D"/>
    <w:pPr>
      <w:jc w:val="center"/>
    </w:pPr>
    <w:rPr>
      <w:rFonts w:ascii="MS Mincho" w:eastAsia="MS Mincho"/>
      <w:sz w:val="28"/>
      <w:szCs w:val="20"/>
    </w:rPr>
  </w:style>
  <w:style w:type="character" w:customStyle="1" w:styleId="TitleChar">
    <w:name w:val="Title Char"/>
    <w:basedOn w:val="DefaultParagraphFont"/>
    <w:uiPriority w:val="10"/>
    <w:rsid w:val="00EE772D"/>
    <w:rPr>
      <w:rFonts w:asciiTheme="majorHAnsi" w:eastAsiaTheme="majorEastAsia" w:hAnsiTheme="majorHAnsi" w:cstheme="majorBidi"/>
      <w:color w:val="17365D" w:themeColor="text2" w:themeShade="BF"/>
      <w:spacing w:val="5"/>
      <w:kern w:val="28"/>
      <w:sz w:val="52"/>
      <w:szCs w:val="52"/>
      <w:lang w:val="sq-AL" w:eastAsia="sq-AL"/>
    </w:rPr>
  </w:style>
  <w:style w:type="paragraph" w:styleId="BodyText3">
    <w:name w:val="Body Text 3"/>
    <w:basedOn w:val="Normal"/>
    <w:link w:val="BodyText3Char"/>
    <w:unhideWhenUsed/>
    <w:rsid w:val="00EE772D"/>
    <w:pPr>
      <w:spacing w:after="120"/>
    </w:pPr>
    <w:rPr>
      <w:rFonts w:ascii="Garamond" w:hAnsi="Garamond"/>
      <w:sz w:val="16"/>
      <w:szCs w:val="16"/>
      <w:lang w:eastAsia="en-US"/>
    </w:rPr>
  </w:style>
  <w:style w:type="character" w:customStyle="1" w:styleId="BodyText3Char">
    <w:name w:val="Body Text 3 Char"/>
    <w:basedOn w:val="DefaultParagraphFont"/>
    <w:link w:val="BodyText3"/>
    <w:rsid w:val="00EE772D"/>
    <w:rPr>
      <w:rFonts w:ascii="Garamond" w:eastAsia="Times New Roman" w:hAnsi="Garamond" w:cs="Times New Roman"/>
      <w:sz w:val="16"/>
      <w:szCs w:val="16"/>
      <w:lang w:val="sq-AL"/>
    </w:rPr>
  </w:style>
  <w:style w:type="character" w:customStyle="1" w:styleId="TitleChar1">
    <w:name w:val="Title Char1"/>
    <w:basedOn w:val="DefaultParagraphFont"/>
    <w:link w:val="Title"/>
    <w:locked/>
    <w:rsid w:val="00EE772D"/>
    <w:rPr>
      <w:rFonts w:ascii="MS Mincho" w:eastAsia="MS Mincho" w:hAnsi="Times New Roman" w:cs="Times New Roman"/>
      <w:sz w:val="28"/>
      <w:szCs w:val="20"/>
      <w:lang w:val="sq-AL" w:eastAsia="sq-AL"/>
    </w:rPr>
  </w:style>
  <w:style w:type="paragraph" w:styleId="Footer">
    <w:name w:val="footer"/>
    <w:basedOn w:val="Normal"/>
    <w:link w:val="FooterChar"/>
    <w:uiPriority w:val="99"/>
    <w:unhideWhenUsed/>
    <w:rsid w:val="00EE772D"/>
    <w:pPr>
      <w:tabs>
        <w:tab w:val="center" w:pos="4680"/>
        <w:tab w:val="right" w:pos="9360"/>
      </w:tabs>
    </w:pPr>
  </w:style>
  <w:style w:type="character" w:customStyle="1" w:styleId="FooterChar">
    <w:name w:val="Footer Char"/>
    <w:basedOn w:val="DefaultParagraphFont"/>
    <w:link w:val="Footer"/>
    <w:uiPriority w:val="99"/>
    <w:rsid w:val="00EE772D"/>
    <w:rPr>
      <w:rFonts w:ascii="Times New Roman" w:eastAsia="Times New Roman" w:hAnsi="Times New Roman" w:cs="Times New Roman"/>
      <w:sz w:val="24"/>
      <w:szCs w:val="24"/>
      <w:lang w:val="sq-AL" w:eastAsia="sq-AL"/>
    </w:rPr>
  </w:style>
  <w:style w:type="character" w:styleId="Hyperlink">
    <w:name w:val="Hyperlink"/>
    <w:basedOn w:val="DefaultParagraphFont"/>
    <w:unhideWhenUsed/>
    <w:rsid w:val="00EE772D"/>
    <w:rPr>
      <w:color w:val="0000FF"/>
      <w:u w:val="single"/>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EE772D"/>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C6A"/>
    <w:pPr>
      <w:tabs>
        <w:tab w:val="center" w:pos="4680"/>
        <w:tab w:val="right" w:pos="9360"/>
      </w:tabs>
    </w:pPr>
  </w:style>
  <w:style w:type="character" w:customStyle="1" w:styleId="HeaderChar">
    <w:name w:val="Header Char"/>
    <w:basedOn w:val="DefaultParagraphFont"/>
    <w:link w:val="Header"/>
    <w:uiPriority w:val="99"/>
    <w:rsid w:val="00D36C6A"/>
    <w:rPr>
      <w:rFonts w:ascii="Times New Roman" w:eastAsia="Times New Roman" w:hAnsi="Times New Roman" w:cs="Times New Roman"/>
      <w:sz w:val="24"/>
      <w:szCs w:val="24"/>
      <w:lang w:val="sq-AL" w:eastAsia="sq-AL"/>
    </w:rPr>
  </w:style>
  <w:style w:type="character" w:customStyle="1" w:styleId="Heading2Char">
    <w:name w:val="Heading 2 Char"/>
    <w:basedOn w:val="DefaultParagraphFont"/>
    <w:link w:val="Heading2"/>
    <w:rsid w:val="00B70117"/>
    <w:rPr>
      <w:rFonts w:ascii="Times New Roman" w:eastAsia="Times New Roman" w:hAnsi="Times New Roman" w:cs="Times New Roman"/>
      <w:b/>
      <w:sz w:val="28"/>
      <w:szCs w:val="24"/>
      <w:lang w:val="sq-AL"/>
    </w:rPr>
  </w:style>
  <w:style w:type="paragraph" w:styleId="BalloonText">
    <w:name w:val="Balloon Text"/>
    <w:basedOn w:val="Normal"/>
    <w:link w:val="BalloonTextChar"/>
    <w:uiPriority w:val="99"/>
    <w:semiHidden/>
    <w:unhideWhenUsed/>
    <w:rsid w:val="001E6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B6"/>
    <w:rPr>
      <w:rFonts w:ascii="Segoe UI" w:eastAsia="Times New Roman" w:hAnsi="Segoe UI" w:cs="Segoe UI"/>
      <w:sz w:val="18"/>
      <w:szCs w:val="18"/>
      <w:lang w:val="sq-AL" w:eastAsia="sq-AL"/>
    </w:rPr>
  </w:style>
  <w:style w:type="character" w:customStyle="1" w:styleId="Heading1Char">
    <w:name w:val="Heading 1 Char"/>
    <w:basedOn w:val="DefaultParagraphFont"/>
    <w:link w:val="Heading1"/>
    <w:uiPriority w:val="9"/>
    <w:rsid w:val="00B77E89"/>
    <w:rPr>
      <w:rFonts w:ascii="Cambria" w:eastAsia="Times New Roman" w:hAnsi="Cambria" w:cs="Times New Roman"/>
      <w:b/>
      <w:bCs/>
      <w:kern w:val="32"/>
      <w:sz w:val="32"/>
      <w:szCs w:val="32"/>
    </w:r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180FD0"/>
    <w:rPr>
      <w:rFonts w:ascii="Calibri" w:eastAsia="Calibri" w:hAnsi="Calibri" w:cs="Times New Roman"/>
      <w:lang w:val="sq-AL"/>
    </w:rPr>
  </w:style>
  <w:style w:type="paragraph" w:styleId="NoSpacing">
    <w:name w:val="No Spacing"/>
    <w:uiPriority w:val="1"/>
    <w:qFormat/>
    <w:rsid w:val="00054E38"/>
    <w:pPr>
      <w:spacing w:after="0" w:line="240" w:lineRule="auto"/>
    </w:pPr>
    <w:rPr>
      <w:rFonts w:ascii="Calibri" w:eastAsia="Times New Roman" w:hAnsi="Calibri" w:cs="Times New Roman"/>
      <w:lang w:val="it-IT"/>
    </w:rPr>
  </w:style>
  <w:style w:type="character" w:styleId="Strong">
    <w:name w:val="Strong"/>
    <w:uiPriority w:val="22"/>
    <w:qFormat/>
    <w:rsid w:val="00054E38"/>
    <w:rPr>
      <w:b/>
      <w:bCs/>
    </w:rPr>
  </w:style>
  <w:style w:type="character" w:customStyle="1" w:styleId="Heading3Char">
    <w:name w:val="Heading 3 Char"/>
    <w:basedOn w:val="DefaultParagraphFont"/>
    <w:link w:val="Heading3"/>
    <w:uiPriority w:val="9"/>
    <w:rsid w:val="003A33F8"/>
    <w:rPr>
      <w:rFonts w:asciiTheme="majorHAnsi" w:eastAsiaTheme="majorEastAsia" w:hAnsiTheme="majorHAnsi" w:cstheme="majorBidi"/>
      <w:b/>
      <w:bCs/>
      <w:color w:val="4F81BD" w:themeColor="accent1"/>
      <w:lang w:val="sq-AL"/>
    </w:rPr>
  </w:style>
  <w:style w:type="paragraph" w:customStyle="1" w:styleId="Default">
    <w:name w:val="Default"/>
    <w:link w:val="DefaultChar"/>
    <w:rsid w:val="003A33F8"/>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DefaultChar">
    <w:name w:val="Default Char"/>
    <w:link w:val="Default"/>
    <w:locked/>
    <w:rsid w:val="003A33F8"/>
    <w:rPr>
      <w:rFonts w:ascii="Times New Roman" w:eastAsia="Calibri" w:hAnsi="Times New Roman" w:cs="Times New Roman"/>
      <w:color w:val="000000"/>
      <w:sz w:val="24"/>
      <w:szCs w:val="24"/>
      <w:lang w:val="en-GB" w:eastAsia="en-GB"/>
    </w:rPr>
  </w:style>
  <w:style w:type="character" w:customStyle="1" w:styleId="hps">
    <w:name w:val="hps"/>
    <w:basedOn w:val="DefaultParagraphFont"/>
    <w:rsid w:val="003A33F8"/>
  </w:style>
  <w:style w:type="paragraph" w:customStyle="1" w:styleId="Title1">
    <w:name w:val="Title1"/>
    <w:basedOn w:val="Normal"/>
    <w:rsid w:val="008637BE"/>
    <w:pPr>
      <w:spacing w:before="100" w:beforeAutospacing="1" w:after="100" w:afterAutospacing="1"/>
    </w:pPr>
    <w:rPr>
      <w:lang w:val="en-US" w:eastAsia="en-US"/>
    </w:rPr>
  </w:style>
  <w:style w:type="character" w:customStyle="1" w:styleId="fontstyle01">
    <w:name w:val="fontstyle01"/>
    <w:basedOn w:val="DefaultParagraphFont"/>
    <w:rsid w:val="00B9634F"/>
    <w:rPr>
      <w:rFonts w:ascii="Times New Roman" w:hAnsi="Times New Roman" w:cs="Times New Roman" w:hint="default"/>
      <w:b w:val="0"/>
      <w:bCs w:val="0"/>
      <w:i w:val="0"/>
      <w:iCs w:val="0"/>
      <w:color w:val="000000"/>
      <w:sz w:val="24"/>
      <w:szCs w:val="24"/>
    </w:rPr>
  </w:style>
  <w:style w:type="paragraph" w:styleId="Caption">
    <w:name w:val="caption"/>
    <w:basedOn w:val="Normal"/>
    <w:qFormat/>
    <w:rsid w:val="00B9634F"/>
    <w:pPr>
      <w:suppressLineNumbers/>
      <w:suppressAutoHyphens/>
      <w:spacing w:before="120" w:after="120" w:line="276" w:lineRule="auto"/>
    </w:pPr>
    <w:rPr>
      <w:rFonts w:ascii="Calibri" w:eastAsia="Batang" w:hAnsi="Calibri" w:cs="Lohit Hindi"/>
      <w:i/>
      <w:iCs/>
      <w:lang w:eastAsia="zh-CN"/>
    </w:rPr>
  </w:style>
  <w:style w:type="paragraph" w:styleId="CommentText">
    <w:name w:val="annotation text"/>
    <w:basedOn w:val="Normal"/>
    <w:link w:val="CommentTextChar"/>
    <w:uiPriority w:val="99"/>
    <w:unhideWhenUsed/>
    <w:rsid w:val="00B9634F"/>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9634F"/>
    <w:rPr>
      <w:rFonts w:ascii="Calibri" w:eastAsia="Calibri" w:hAnsi="Calibri" w:cs="Times New Roman"/>
      <w:sz w:val="20"/>
      <w:szCs w:val="20"/>
      <w:lang w:val="sq-AL"/>
    </w:rPr>
  </w:style>
  <w:style w:type="paragraph" w:styleId="BodyText">
    <w:name w:val="Body Text"/>
    <w:basedOn w:val="Normal"/>
    <w:link w:val="BodyTextChar"/>
    <w:uiPriority w:val="99"/>
    <w:unhideWhenUsed/>
    <w:rsid w:val="00B9634F"/>
    <w:pPr>
      <w:spacing w:after="120"/>
    </w:pPr>
  </w:style>
  <w:style w:type="character" w:customStyle="1" w:styleId="BodyTextChar">
    <w:name w:val="Body Text Char"/>
    <w:basedOn w:val="DefaultParagraphFont"/>
    <w:link w:val="BodyText"/>
    <w:uiPriority w:val="99"/>
    <w:rsid w:val="00B9634F"/>
    <w:rPr>
      <w:rFonts w:ascii="Times New Roman" w:eastAsia="Times New Roman" w:hAnsi="Times New Roman" w:cs="Times New Roman"/>
      <w:sz w:val="24"/>
      <w:szCs w:val="24"/>
      <w:lang w:val="sq-AL" w:eastAsia="sq-AL"/>
    </w:rPr>
  </w:style>
  <w:style w:type="paragraph" w:styleId="NormalWeb">
    <w:name w:val="Normal (Web)"/>
    <w:basedOn w:val="Normal"/>
    <w:uiPriority w:val="99"/>
    <w:unhideWhenUsed/>
    <w:rsid w:val="00FB08A2"/>
    <w:pPr>
      <w:spacing w:before="100" w:beforeAutospacing="1" w:after="100" w:afterAutospacing="1"/>
    </w:pPr>
    <w:rPr>
      <w:rFonts w:eastAsiaTheme="minorHAnsi"/>
      <w:lang w:val="en-US"/>
    </w:rPr>
  </w:style>
  <w:style w:type="paragraph" w:customStyle="1" w:styleId="m4120476451576318812msolistparagraph">
    <w:name w:val="m_4120476451576318812msolistparagraph"/>
    <w:basedOn w:val="Normal"/>
    <w:rsid w:val="00C0549D"/>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C26AE3"/>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semiHidden/>
    <w:rsid w:val="00C26AE3"/>
    <w:rPr>
      <w:rFonts w:ascii="Calibri" w:eastAsia="Calibri" w:hAnsi="Calibri" w:cs="Arial"/>
      <w:sz w:val="20"/>
      <w:szCs w:val="20"/>
    </w:rPr>
  </w:style>
  <w:style w:type="character" w:styleId="FootnoteReference">
    <w:name w:val="footnote reference"/>
    <w:uiPriority w:val="99"/>
    <w:semiHidden/>
    <w:unhideWhenUsed/>
    <w:rsid w:val="00C26AE3"/>
    <w:rPr>
      <w:vertAlign w:val="superscript"/>
    </w:rPr>
  </w:style>
  <w:style w:type="table" w:styleId="GridTable4-Accent6">
    <w:name w:val="Grid Table 4 Accent 6"/>
    <w:basedOn w:val="TableNormal"/>
    <w:uiPriority w:val="49"/>
    <w:rsid w:val="00E33BEF"/>
    <w:pPr>
      <w:spacing w:after="0" w:line="240" w:lineRule="auto"/>
    </w:pPr>
    <w:rPr>
      <w:lang w:val="sq-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4Char">
    <w:name w:val="Heading 4 Char"/>
    <w:basedOn w:val="DefaultParagraphFont"/>
    <w:link w:val="Heading4"/>
    <w:uiPriority w:val="9"/>
    <w:rsid w:val="006C7603"/>
    <w:rPr>
      <w:rFonts w:asciiTheme="majorHAnsi" w:eastAsiaTheme="majorEastAsia" w:hAnsiTheme="majorHAnsi" w:cstheme="majorBidi"/>
      <w:i/>
      <w:iCs/>
      <w:color w:val="365F91" w:themeColor="accent1" w:themeShade="BF"/>
      <w:lang w:val="sq-AL"/>
    </w:rPr>
  </w:style>
  <w:style w:type="table" w:styleId="TableGrid">
    <w:name w:val="Table Grid"/>
    <w:basedOn w:val="TableNormal"/>
    <w:uiPriority w:val="39"/>
    <w:rsid w:val="00B23928"/>
    <w:pPr>
      <w:spacing w:after="22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20612">
      <w:bodyDiv w:val="1"/>
      <w:marLeft w:val="0"/>
      <w:marRight w:val="0"/>
      <w:marTop w:val="0"/>
      <w:marBottom w:val="0"/>
      <w:divBdr>
        <w:top w:val="none" w:sz="0" w:space="0" w:color="auto"/>
        <w:left w:val="none" w:sz="0" w:space="0" w:color="auto"/>
        <w:bottom w:val="none" w:sz="0" w:space="0" w:color="auto"/>
        <w:right w:val="none" w:sz="0" w:space="0" w:color="auto"/>
      </w:divBdr>
    </w:div>
    <w:div w:id="826094954">
      <w:bodyDiv w:val="1"/>
      <w:marLeft w:val="0"/>
      <w:marRight w:val="0"/>
      <w:marTop w:val="0"/>
      <w:marBottom w:val="0"/>
      <w:divBdr>
        <w:top w:val="none" w:sz="0" w:space="0" w:color="auto"/>
        <w:left w:val="none" w:sz="0" w:space="0" w:color="auto"/>
        <w:bottom w:val="none" w:sz="0" w:space="0" w:color="auto"/>
        <w:right w:val="none" w:sz="0" w:space="0" w:color="auto"/>
      </w:divBdr>
    </w:div>
    <w:div w:id="923301173">
      <w:bodyDiv w:val="1"/>
      <w:marLeft w:val="0"/>
      <w:marRight w:val="0"/>
      <w:marTop w:val="0"/>
      <w:marBottom w:val="0"/>
      <w:divBdr>
        <w:top w:val="none" w:sz="0" w:space="0" w:color="auto"/>
        <w:left w:val="none" w:sz="0" w:space="0" w:color="auto"/>
        <w:bottom w:val="none" w:sz="0" w:space="0" w:color="auto"/>
        <w:right w:val="none" w:sz="0" w:space="0" w:color="auto"/>
      </w:divBdr>
    </w:div>
    <w:div w:id="195232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dp.al/wp-content/uploads/2016/11/urdher_programi_model_i_transparencs.jpg"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911F1-2130-4A55-94DB-17D497F64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5734</Words>
  <Characters>32688</Characters>
  <Application>Microsoft Office Word</Application>
  <DocSecurity>0</DocSecurity>
  <Lines>272</Lines>
  <Paragraphs>76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Malvina</cp:lastModifiedBy>
  <cp:revision>3</cp:revision>
  <cp:lastPrinted>2021-02-22T09:24:00Z</cp:lastPrinted>
  <dcterms:created xsi:type="dcterms:W3CDTF">2021-02-22T09:24:00Z</dcterms:created>
  <dcterms:modified xsi:type="dcterms:W3CDTF">2021-02-22T09:24:00Z</dcterms:modified>
</cp:coreProperties>
</file>