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E7" w:rsidRPr="00C37BB4" w:rsidRDefault="00A80E76" w:rsidP="00D24FE7">
      <w:pPr>
        <w:tabs>
          <w:tab w:val="left" w:pos="9000"/>
        </w:tabs>
        <w:autoSpaceDE w:val="0"/>
        <w:autoSpaceDN w:val="0"/>
        <w:adjustRightInd w:val="0"/>
        <w:rPr>
          <w:b/>
        </w:rPr>
      </w:pPr>
      <w:r>
        <w:rPr>
          <w:noProof/>
          <w:lang w:val="en-US" w:eastAsia="en-US"/>
        </w:rPr>
        <mc:AlternateContent>
          <mc:Choice Requires="wps">
            <w:drawing>
              <wp:anchor distT="4294967293" distB="4294967293"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0F862F5B"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lang w:val="en-US" w:eastAsia="en-US"/>
        </w:rPr>
        <mc:AlternateContent>
          <mc:Choice Requires="wps">
            <w:drawing>
              <wp:anchor distT="4294967293" distB="4294967293"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214812C" id="AutoShape 4" o:spid="_x0000_s1026" type="#_x0000_t32" style="position:absolute;margin-left:229.9pt;margin-top:36.9pt;width:192.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BC2353">
        <w:t xml:space="preserve">                                                                  </w:t>
      </w:r>
      <w:r w:rsidR="00D24FE7" w:rsidRPr="00C37BB4">
        <w:object w:dxaOrig="2175"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o:preferrelative="f" fillcolor="window">
            <v:imagedata r:id="rId8" o:title=""/>
            <o:lock v:ext="edit" aspectratio="f"/>
          </v:shape>
          <o:OLEObject Type="Embed" ProgID="Unknown" ShapeID="_x0000_i1025" DrawAspect="Content" ObjectID="_1738131664"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7578F5" w:rsidRPr="00A80E76" w:rsidRDefault="00D24FE7" w:rsidP="00A80E76">
      <w:pPr>
        <w:jc w:val="center"/>
        <w:rPr>
          <w:b/>
        </w:rPr>
      </w:pPr>
      <w:r w:rsidRPr="00C37BB4">
        <w:rPr>
          <w:b/>
        </w:rPr>
        <w:t>KOMISIONERI PËR TË DREJTËN E INFORMIMIT DHE MBROJTJEN E TË DHËNAVE PERSONALE</w:t>
      </w:r>
    </w:p>
    <w:p w:rsidR="00D24FE7" w:rsidRPr="00B24E43" w:rsidRDefault="00BD607D" w:rsidP="00CC7130">
      <w:pPr>
        <w:jc w:val="center"/>
      </w:pPr>
      <w:r>
        <w:t>GMS/EMP</w:t>
      </w:r>
    </w:p>
    <w:p w:rsidR="00CC7130" w:rsidRDefault="00CC7130" w:rsidP="007578F5">
      <w:pPr>
        <w:jc w:val="both"/>
      </w:pPr>
    </w:p>
    <w:p w:rsidR="00CC7130" w:rsidRPr="00B151C3" w:rsidRDefault="003A33F8" w:rsidP="00CC7130">
      <w:pPr>
        <w:spacing w:line="276" w:lineRule="auto"/>
        <w:ind w:left="900" w:right="140" w:hanging="900"/>
        <w:jc w:val="both"/>
      </w:pPr>
      <w:r w:rsidRPr="00B151C3">
        <w:t>Lë</w:t>
      </w:r>
      <w:r w:rsidR="00C400D3" w:rsidRPr="00B151C3">
        <w:t xml:space="preserve">nda: </w:t>
      </w:r>
      <w:r w:rsidR="00536C27" w:rsidRPr="00B151C3">
        <w:t xml:space="preserve">Raport i monitorimit mbi performancën e produkteve/shpenzimeve për </w:t>
      </w:r>
      <w:r w:rsidR="00321213">
        <w:t xml:space="preserve">vitin </w:t>
      </w:r>
      <w:r w:rsidR="00CC7130" w:rsidRPr="00B151C3">
        <w:t xml:space="preserve"> 2022</w:t>
      </w:r>
    </w:p>
    <w:p w:rsidR="009477E1" w:rsidRPr="00B151C3" w:rsidRDefault="009477E1" w:rsidP="00CC7130">
      <w:pPr>
        <w:spacing w:line="276" w:lineRule="auto"/>
        <w:ind w:right="434"/>
        <w:jc w:val="both"/>
      </w:pPr>
    </w:p>
    <w:p w:rsidR="003575F7" w:rsidRPr="00000F0F" w:rsidRDefault="00DD07BD" w:rsidP="00000F0F">
      <w:pPr>
        <w:spacing w:line="276" w:lineRule="auto"/>
        <w:jc w:val="both"/>
        <w:rPr>
          <w:color w:val="0D0D0D" w:themeColor="text1" w:themeTint="F2"/>
        </w:rPr>
      </w:pPr>
      <w:r w:rsidRPr="00000F0F">
        <w:rPr>
          <w:color w:val="0D0D0D" w:themeColor="text1" w:themeTint="F2"/>
        </w:rPr>
        <w:t>Në mbështetje të Ligjit nr. 9936, datë 26.06.2008 “Për menaxhimin e sistemit buxhetor në Republikën e Shqipërisë”, i ndryshuar, Ligjit nr.10296, datë 8.07.2</w:t>
      </w:r>
      <w:r w:rsidR="00CC7130" w:rsidRPr="00000F0F">
        <w:rPr>
          <w:color w:val="0D0D0D" w:themeColor="text1" w:themeTint="F2"/>
        </w:rPr>
        <w:t>010</w:t>
      </w:r>
      <w:r w:rsidRPr="00000F0F">
        <w:rPr>
          <w:color w:val="0D0D0D" w:themeColor="text1" w:themeTint="F2"/>
        </w:rPr>
        <w:t xml:space="preserve"> </w:t>
      </w:r>
      <w:r w:rsidR="00CC7130" w:rsidRPr="00000F0F">
        <w:rPr>
          <w:color w:val="0D0D0D" w:themeColor="text1" w:themeTint="F2"/>
        </w:rPr>
        <w:t xml:space="preserve">                                      </w:t>
      </w:r>
      <w:r w:rsidRPr="00000F0F">
        <w:rPr>
          <w:color w:val="0D0D0D" w:themeColor="text1" w:themeTint="F2"/>
        </w:rPr>
        <w:t xml:space="preserve">“Për menaxhimin financiar dhe kontrollin”, i ndryshuar, </w:t>
      </w:r>
      <w:r w:rsidRPr="00000F0F">
        <w:rPr>
          <w:color w:val="0D0D0D" w:themeColor="text1" w:themeTint="F2"/>
          <w:lang w:val="it-IT"/>
        </w:rPr>
        <w:t xml:space="preserve">Ligjit </w:t>
      </w:r>
      <w:r w:rsidRPr="00000F0F">
        <w:rPr>
          <w:color w:val="0D0D0D" w:themeColor="text1" w:themeTint="F2"/>
        </w:rPr>
        <w:t>nr.</w:t>
      </w:r>
      <w:r w:rsidR="00BD607D" w:rsidRPr="00000F0F">
        <w:rPr>
          <w:color w:val="0D0D0D" w:themeColor="text1" w:themeTint="F2"/>
        </w:rPr>
        <w:t>115/2021</w:t>
      </w:r>
      <w:r w:rsidRPr="00000F0F">
        <w:rPr>
          <w:color w:val="0D0D0D" w:themeColor="text1" w:themeTint="F2"/>
        </w:rPr>
        <w:t xml:space="preserve"> “Për buxhetin e vitit 202</w:t>
      </w:r>
      <w:r w:rsidR="00BD607D" w:rsidRPr="00000F0F">
        <w:rPr>
          <w:color w:val="0D0D0D" w:themeColor="text1" w:themeTint="F2"/>
        </w:rPr>
        <w:t>2</w:t>
      </w:r>
      <w:r w:rsidRPr="00000F0F">
        <w:rPr>
          <w:color w:val="0D0D0D" w:themeColor="text1" w:themeTint="F2"/>
        </w:rPr>
        <w:t xml:space="preserve">”, Udhëzimit nr.9 datë 20.03.2018, “Për procedurat standarde të zbatimit të Buxhetit”, </w:t>
      </w:r>
      <w:r w:rsidR="00BD607D" w:rsidRPr="00000F0F">
        <w:rPr>
          <w:color w:val="262626" w:themeColor="text1" w:themeTint="D9"/>
        </w:rPr>
        <w:t>Udhëzimit plotësues nr.1, datë 10/01/2022 “Për zbat</w:t>
      </w:r>
      <w:r w:rsidR="00CC7130" w:rsidRPr="00000F0F">
        <w:rPr>
          <w:color w:val="262626" w:themeColor="text1" w:themeTint="D9"/>
        </w:rPr>
        <w:t>imin e buxhetit të vitit 2022”,</w:t>
      </w:r>
      <w:r w:rsidRPr="00000F0F">
        <w:rPr>
          <w:color w:val="0D0D0D" w:themeColor="text1" w:themeTint="F2"/>
        </w:rPr>
        <w:t xml:space="preserve"> </w:t>
      </w:r>
      <w:r w:rsidR="003575F7" w:rsidRPr="00000F0F">
        <w:rPr>
          <w:color w:val="0D0D0D" w:themeColor="text1" w:themeTint="F2"/>
        </w:rPr>
        <w:t xml:space="preserve">Zyra e Komisionerit për të Drejtën e Informimit dhe Mbrojtjen e të Dhënave Personale (këtej e tutje “Zyra e Komisionerit” ose KDIMDP), ka kryer monitorimin </w:t>
      </w:r>
      <w:r w:rsidR="003672D8" w:rsidRPr="00000F0F">
        <w:rPr>
          <w:color w:val="0D0D0D" w:themeColor="text1" w:themeTint="F2"/>
        </w:rPr>
        <w:t xml:space="preserve"> </w:t>
      </w:r>
      <w:r w:rsidR="004A1A46" w:rsidRPr="00000F0F">
        <w:rPr>
          <w:color w:val="0D0D0D" w:themeColor="text1" w:themeTint="F2"/>
        </w:rPr>
        <w:t>e buxhetit për vitin 2022, nëpërmjet vlerësimit të performancës s</w:t>
      </w:r>
      <w:r w:rsidR="00F558AE" w:rsidRPr="00000F0F">
        <w:rPr>
          <w:color w:val="0D0D0D" w:themeColor="text1" w:themeTint="F2"/>
        </w:rPr>
        <w:t>ë</w:t>
      </w:r>
      <w:r w:rsidR="004A1A46" w:rsidRPr="00000F0F">
        <w:rPr>
          <w:color w:val="0D0D0D" w:themeColor="text1" w:themeTint="F2"/>
        </w:rPr>
        <w:t xml:space="preserve"> fondeve buxhetore dhe krahasimit të treguesve faktikë të performancës me ato të planifikuarat.   </w:t>
      </w:r>
    </w:p>
    <w:p w:rsidR="00DD07BD" w:rsidRPr="00000F0F" w:rsidRDefault="00DD07BD" w:rsidP="00000F0F">
      <w:pPr>
        <w:spacing w:line="276" w:lineRule="auto"/>
        <w:jc w:val="both"/>
        <w:rPr>
          <w:color w:val="0D0D0D" w:themeColor="text1" w:themeTint="F2"/>
        </w:rPr>
      </w:pPr>
      <w:r w:rsidRPr="00000F0F">
        <w:rPr>
          <w:color w:val="0D0D0D" w:themeColor="text1" w:themeTint="F2"/>
        </w:rPr>
        <w:t xml:space="preserve">Monitorimi </w:t>
      </w:r>
      <w:r w:rsidR="004A1A46" w:rsidRPr="00000F0F">
        <w:t>ë</w:t>
      </w:r>
      <w:r w:rsidRPr="00000F0F">
        <w:rPr>
          <w:color w:val="0D0D0D" w:themeColor="text1" w:themeTint="F2"/>
        </w:rPr>
        <w:t>sht</w:t>
      </w:r>
      <w:r w:rsidR="003672D8" w:rsidRPr="00000F0F">
        <w:rPr>
          <w:color w:val="0D0D0D" w:themeColor="text1" w:themeTint="F2"/>
        </w:rPr>
        <w:t>ë</w:t>
      </w:r>
      <w:r w:rsidR="00CC7130" w:rsidRPr="00000F0F">
        <w:rPr>
          <w:color w:val="0D0D0D" w:themeColor="text1" w:themeTint="F2"/>
        </w:rPr>
        <w:t xml:space="preserve"> proc</w:t>
      </w:r>
      <w:r w:rsidRPr="00000F0F">
        <w:rPr>
          <w:color w:val="0D0D0D" w:themeColor="text1" w:themeTint="F2"/>
        </w:rPr>
        <w:t xml:space="preserve">esi që lidh realizimin e objektivave dhe produkteve me fondet përkatëse të planifikuara për arritjen e tyre. </w:t>
      </w:r>
    </w:p>
    <w:p w:rsidR="00F558AE" w:rsidRPr="00000F0F" w:rsidRDefault="00F558AE" w:rsidP="00000F0F">
      <w:pPr>
        <w:spacing w:line="276" w:lineRule="auto"/>
        <w:jc w:val="both"/>
        <w:rPr>
          <w:lang w:val="en-US" w:eastAsia="ko-KR"/>
        </w:rPr>
      </w:pPr>
    </w:p>
    <w:p w:rsidR="00BD607D" w:rsidRPr="00000F0F" w:rsidRDefault="004A1A46" w:rsidP="00000F0F">
      <w:pPr>
        <w:spacing w:line="276" w:lineRule="auto"/>
        <w:jc w:val="both"/>
      </w:pPr>
      <w:r w:rsidRPr="00000F0F">
        <w:rPr>
          <w:lang w:val="en-US" w:eastAsia="ko-KR"/>
        </w:rPr>
        <w:t xml:space="preserve"> </w:t>
      </w:r>
      <w:r w:rsidR="00BD607D" w:rsidRPr="00000F0F">
        <w:t xml:space="preserve">Vizioni ynë </w:t>
      </w:r>
      <w:r w:rsidR="00F558AE" w:rsidRPr="00000F0F">
        <w:t xml:space="preserve"> është </w:t>
      </w:r>
      <w:r w:rsidRPr="00000F0F">
        <w:t xml:space="preserve"> </w:t>
      </w:r>
      <w:r w:rsidRPr="00000F0F">
        <w:rPr>
          <w:rStyle w:val="NoSpacingChar"/>
          <w:rFonts w:ascii="Times New Roman" w:hAnsi="Times New Roman"/>
        </w:rPr>
        <w:t>harmonizimi</w:t>
      </w:r>
      <w:r w:rsidR="00F558AE" w:rsidRPr="00000F0F">
        <w:rPr>
          <w:rStyle w:val="NoSpacingChar"/>
          <w:rFonts w:ascii="Times New Roman" w:hAnsi="Times New Roman"/>
        </w:rPr>
        <w:t xml:space="preserve"> </w:t>
      </w:r>
      <w:r w:rsidRPr="00000F0F">
        <w:rPr>
          <w:rStyle w:val="NoSpacingChar"/>
          <w:rFonts w:ascii="Times New Roman" w:hAnsi="Times New Roman"/>
        </w:rPr>
        <w:t xml:space="preserve"> </w:t>
      </w:r>
      <w:r w:rsidR="00F558AE" w:rsidRPr="00000F0F">
        <w:rPr>
          <w:rStyle w:val="NoSpacingChar"/>
          <w:rFonts w:ascii="Times New Roman" w:hAnsi="Times New Roman"/>
        </w:rPr>
        <w:t>i</w:t>
      </w:r>
      <w:r w:rsidRPr="00000F0F">
        <w:rPr>
          <w:rStyle w:val="NoSpacingChar"/>
          <w:rFonts w:ascii="Times New Roman" w:hAnsi="Times New Roman"/>
        </w:rPr>
        <w:t xml:space="preserve"> përpjekjeve dhe veprimtarisë me autoritetet publike dhe me kontrolluesit publik/privat për forcimin e mjedisit në garantimin e të drejtave dhe lirive themelore të qytetarëve. </w:t>
      </w:r>
      <w:r w:rsidRPr="00000F0F">
        <w:t xml:space="preserve"> </w:t>
      </w:r>
    </w:p>
    <w:p w:rsidR="00BD607D" w:rsidRPr="00000F0F" w:rsidRDefault="00BD607D" w:rsidP="00000F0F">
      <w:pPr>
        <w:spacing w:line="276" w:lineRule="auto"/>
        <w:jc w:val="both"/>
      </w:pPr>
    </w:p>
    <w:p w:rsidR="00BD607D" w:rsidRPr="00000F0F" w:rsidRDefault="00BD607D" w:rsidP="00000F0F">
      <w:pPr>
        <w:spacing w:line="276" w:lineRule="auto"/>
        <w:jc w:val="both"/>
      </w:pPr>
      <w:r w:rsidRPr="00000F0F">
        <w:t>Kjo materializohet nëpërmjet qëllimit të programit i cili është: nxitja e përputhshmërisë së sektorit publik dhe privat për mbrojtjen e të dhënave personale dhe të drejtën e informimit, vendosja e balancës midis dy të drejtave të shtetasve, duke ofruar ekspertizën për ligjbërësit kombëtarë, me qëllim adoptimin e standardeve evropiane në të dyja fushat. Realizimi i mbikëqyrjeve/inspektimeve për zbatimin e detyrimeve ligjore, vendosjen e sanksioneve administrative në rastet flagrante të shkeljes së detyrimeve, shqyrtimin e ankesave në lidhje me të drejtën për akses në informacionin publik apo cënimin e privatësisë, në bazë të të cilave Komisioneri ushtron vendimmarrjen e tij. Menaxhimi me efektivitet dhe korrektësi i fondeve buxhetore të KDIMDP-së.</w:t>
      </w:r>
    </w:p>
    <w:p w:rsidR="00CC7130" w:rsidRPr="00000F0F" w:rsidRDefault="00CC7130" w:rsidP="00000F0F">
      <w:pPr>
        <w:spacing w:line="276" w:lineRule="auto"/>
        <w:jc w:val="both"/>
      </w:pPr>
    </w:p>
    <w:p w:rsidR="00BD607D" w:rsidRPr="00000F0F" w:rsidRDefault="00BD607D" w:rsidP="00000F0F">
      <w:pPr>
        <w:spacing w:line="276" w:lineRule="auto"/>
        <w:jc w:val="both"/>
      </w:pPr>
      <w:r w:rsidRPr="00000F0F">
        <w:t xml:space="preserve">Për përmbushjen e sa më sipër, gjatë </w:t>
      </w:r>
      <w:r w:rsidRPr="00000F0F">
        <w:rPr>
          <w:color w:val="0D0D0D" w:themeColor="text1" w:themeTint="F2"/>
        </w:rPr>
        <w:t xml:space="preserve">vitit 2022 </w:t>
      </w:r>
      <w:r w:rsidRPr="00000F0F">
        <w:t>dhe në vijim objektivat e Zyrës së Komisionerit do të jenë:</w:t>
      </w:r>
    </w:p>
    <w:p w:rsidR="004A1A46" w:rsidRPr="00000F0F" w:rsidRDefault="004A1A46" w:rsidP="00000F0F">
      <w:pPr>
        <w:spacing w:line="276" w:lineRule="auto"/>
        <w:jc w:val="both"/>
      </w:pPr>
    </w:p>
    <w:p w:rsidR="00BD607D"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m</w:t>
      </w:r>
      <w:r w:rsidR="00BD607D" w:rsidRPr="00000F0F">
        <w:rPr>
          <w:rFonts w:ascii="Times New Roman" w:hAnsi="Times New Roman"/>
          <w:sz w:val="24"/>
          <w:szCs w:val="24"/>
        </w:rPr>
        <w:t>bështetja dhe monitorimi i autoriteteve publike lidhur me vënien në zbatim të Programit të Transparencës së rishikuar dhe Regjistrit të Kërkesave dhe Përgjigjeve;</w:t>
      </w:r>
    </w:p>
    <w:p w:rsidR="00444A64"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s</w:t>
      </w:r>
      <w:r w:rsidR="00444A64" w:rsidRPr="00000F0F">
        <w:rPr>
          <w:rFonts w:ascii="Times New Roman" w:hAnsi="Times New Roman"/>
          <w:sz w:val="24"/>
          <w:szCs w:val="24"/>
        </w:rPr>
        <w:t>htimi i burimeve njerëzore dhe financiare për forcimin e kapaciteteve administrative në kuadër të harmonizimit integral të legjislacionit në të dy fushat e përgjegjësisë;</w:t>
      </w:r>
    </w:p>
    <w:p w:rsidR="00444A64"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lastRenderedPageBreak/>
        <w:t>përmirësimi i kapaciteteve profesionale të stafit, me fokus të veçantë, thellimin e njohurive në tekonoligjitë e informacionit dhe komunikimit (TIK), si detyrime specifike që burojnë nga legjislacioni i përmirësuar;</w:t>
      </w:r>
    </w:p>
    <w:p w:rsidR="00F558AE"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komunikimi proaktiv me autoriteteve publike për konsolidimin e kulturës së transparencës;</w:t>
      </w:r>
    </w:p>
    <w:p w:rsidR="00F558AE"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forcimi i rolit dhe kapaciteteve të koordinatorit të të drejtës për informim</w:t>
      </w:r>
    </w:p>
    <w:p w:rsidR="00F558AE"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trajnimin periodik të koordinatorëve për të drejtën e informimit, veçanërisht, për trajtimin e çështjeve me interes publik në balancë me kufizimet për dhënien e informacionit;</w:t>
      </w:r>
    </w:p>
    <w:p w:rsidR="00F558AE"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nxitje e qasjes së re të kontrolluesve/përpunuesve përsa i përket garantimit efektiv të sigurisë së informacionit (SMSI) në proceset përpunuese;</w:t>
      </w:r>
    </w:p>
    <w:p w:rsidR="00F558AE"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përgjegjshmëri e lartë e kontrolluesve publik për t’iu drejtuar Zyrës së Komisionerit për dhënien e mendimeve mbi projektaktet ligjore/nënligjore, që në objekt të tyre kanë përpunimin e të dhënave personale;</w:t>
      </w:r>
    </w:p>
    <w:p w:rsidR="00F558AE"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zgjerimi i rrjetit të forcimi të nëpunësve për mbrojtjen e të dhënave personale dhe forcimi i kapaciteteve profesionale për përmbushjen e detyrimeve ligjore;</w:t>
      </w:r>
    </w:p>
    <w:p w:rsidR="00BD607D" w:rsidRPr="00000F0F" w:rsidRDefault="00BD607D" w:rsidP="00000F0F">
      <w:pPr>
        <w:pStyle w:val="ListParagraph"/>
        <w:numPr>
          <w:ilvl w:val="0"/>
          <w:numId w:val="10"/>
        </w:numPr>
        <w:jc w:val="both"/>
        <w:rPr>
          <w:rFonts w:ascii="Times New Roman" w:hAnsi="Times New Roman"/>
          <w:sz w:val="24"/>
          <w:szCs w:val="24"/>
        </w:rPr>
      </w:pPr>
      <w:r w:rsidRPr="00000F0F">
        <w:rPr>
          <w:rFonts w:ascii="Times New Roman" w:hAnsi="Times New Roman"/>
          <w:sz w:val="24"/>
          <w:szCs w:val="24"/>
        </w:rPr>
        <w:t xml:space="preserve">Shtrirja e regjistrit elektronik të kërkesave dhe përgjigjeve në të gjitha autoritetet publike; </w:t>
      </w:r>
    </w:p>
    <w:p w:rsidR="00BD607D" w:rsidRPr="00000F0F" w:rsidRDefault="00BD607D"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Ndërmarrja e hapave institucionale dhe ligjorë, me autoritetet përkatëse, në lidhje me adresimin e plotë të kërkesave të pikës 1 të nenit 14 të ligjit për të drejtën e informimit, (trajtimi i kërkesave dhe ankesave për informacion nëpërmjet portalit unik qeveritar                   e-albania).</w:t>
      </w:r>
    </w:p>
    <w:p w:rsidR="00F558AE"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programimi i masave në kuadër të zhvillimit të edicionit të 15-të të Konferencës Ndërkombëtare të Komisionerëve të Informimit në Tiranë më 2024;</w:t>
      </w:r>
    </w:p>
    <w:p w:rsidR="00F558AE"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 xml:space="preserve">rol aktiv në kuadër të organizmave ndërkombëtare ku Zyra e Komisionerit është anëtare, si dhe me autoritetet homologe në të dy fushat e përgjegjësisë; </w:t>
      </w:r>
    </w:p>
    <w:p w:rsidR="004A1A46" w:rsidRPr="00000F0F" w:rsidRDefault="00F558AE" w:rsidP="00000F0F">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aplikimi për përfitimin e projekteve nga programe të asistencës nga fondet IPA të BE dhe/ose donatorë të tjerë, në funksion të rritjes së kapaciteteve profesionale.</w:t>
      </w:r>
    </w:p>
    <w:p w:rsidR="00CC7130" w:rsidRPr="00000F0F" w:rsidRDefault="00DD07BD" w:rsidP="00000F0F">
      <w:pPr>
        <w:pStyle w:val="BodyText"/>
        <w:spacing w:after="0" w:line="276" w:lineRule="auto"/>
        <w:jc w:val="both"/>
        <w:rPr>
          <w:color w:val="0D0D0D" w:themeColor="text1" w:themeTint="F2"/>
        </w:rPr>
      </w:pPr>
      <w:r w:rsidRPr="00000F0F">
        <w:rPr>
          <w:color w:val="0D0D0D" w:themeColor="text1" w:themeTint="F2"/>
        </w:rPr>
        <w:t xml:space="preserve">Në përdorimin e fondeve buxhetore, </w:t>
      </w:r>
      <w:r w:rsidR="00006A86" w:rsidRPr="00000F0F">
        <w:rPr>
          <w:color w:val="0D0D0D" w:themeColor="text1" w:themeTint="F2"/>
        </w:rPr>
        <w:t>Zyra e Komisionerit ë</w:t>
      </w:r>
      <w:r w:rsidRPr="00000F0F">
        <w:rPr>
          <w:color w:val="0D0D0D" w:themeColor="text1" w:themeTint="F2"/>
        </w:rPr>
        <w:t>sht</w:t>
      </w:r>
      <w:r w:rsidR="00006A86" w:rsidRPr="00000F0F">
        <w:rPr>
          <w:color w:val="0D0D0D" w:themeColor="text1" w:themeTint="F2"/>
        </w:rPr>
        <w:t>ë</w:t>
      </w:r>
      <w:r w:rsidRPr="00000F0F">
        <w:rPr>
          <w:color w:val="0D0D0D" w:themeColor="text1" w:themeTint="F2"/>
        </w:rPr>
        <w:t xml:space="preserve"> mbështetur në parimet e menaxhimit dhe mirëfunksionimit të sistemit buxhetor. </w:t>
      </w:r>
      <w:r w:rsidR="005D22D9" w:rsidRPr="00000F0F">
        <w:rPr>
          <w:color w:val="0D0D0D" w:themeColor="text1" w:themeTint="F2"/>
        </w:rPr>
        <w:t xml:space="preserve">Gjatë këtij raportimi </w:t>
      </w:r>
      <w:r w:rsidR="00F558AE" w:rsidRPr="00000F0F">
        <w:rPr>
          <w:color w:val="0D0D0D" w:themeColor="text1" w:themeTint="F2"/>
        </w:rPr>
        <w:t xml:space="preserve">vijojmë të   </w:t>
      </w:r>
      <w:r w:rsidR="00F11F1F" w:rsidRPr="00000F0F">
        <w:rPr>
          <w:color w:val="0D0D0D" w:themeColor="text1" w:themeTint="F2"/>
        </w:rPr>
        <w:t>thekso</w:t>
      </w:r>
      <w:r w:rsidR="007F4B40" w:rsidRPr="00000F0F">
        <w:rPr>
          <w:color w:val="0D0D0D" w:themeColor="text1" w:themeTint="F2"/>
        </w:rPr>
        <w:t>jm</w:t>
      </w:r>
      <w:r w:rsidR="005D22D9" w:rsidRPr="00000F0F">
        <w:rPr>
          <w:color w:val="0D0D0D" w:themeColor="text1" w:themeTint="F2"/>
        </w:rPr>
        <w:t>ë</w:t>
      </w:r>
      <w:r w:rsidR="007F4B40" w:rsidRPr="00000F0F">
        <w:rPr>
          <w:color w:val="0D0D0D" w:themeColor="text1" w:themeTint="F2"/>
        </w:rPr>
        <w:t xml:space="preserve"> munges</w:t>
      </w:r>
      <w:r w:rsidR="005D22D9" w:rsidRPr="00000F0F">
        <w:rPr>
          <w:color w:val="0D0D0D" w:themeColor="text1" w:themeTint="F2"/>
        </w:rPr>
        <w:t>ë</w:t>
      </w:r>
      <w:r w:rsidR="007F4B40" w:rsidRPr="00000F0F">
        <w:rPr>
          <w:color w:val="0D0D0D" w:themeColor="text1" w:themeTint="F2"/>
        </w:rPr>
        <w:t>n e angazhimit të Ministrisë së Financave dhe Ekonom</w:t>
      </w:r>
      <w:r w:rsidR="00CC7130" w:rsidRPr="00000F0F">
        <w:rPr>
          <w:color w:val="0D0D0D" w:themeColor="text1" w:themeTint="F2"/>
        </w:rPr>
        <w:t>isë, për gjetjen e një zgjidhje</w:t>
      </w:r>
      <w:r w:rsidR="007F4B40" w:rsidRPr="00000F0F">
        <w:rPr>
          <w:color w:val="0D0D0D" w:themeColor="text1" w:themeTint="F2"/>
        </w:rPr>
        <w:t xml:space="preserve"> alternative apo ndërhyrje teknike në sistemin AFMI</w:t>
      </w:r>
      <w:r w:rsidR="00CC7130" w:rsidRPr="00000F0F">
        <w:rPr>
          <w:color w:val="0D0D0D" w:themeColor="text1" w:themeTint="F2"/>
        </w:rPr>
        <w:t>S, lidhur me mënyrën</w:t>
      </w:r>
      <w:r w:rsidR="007F4B40" w:rsidRPr="00000F0F">
        <w:rPr>
          <w:color w:val="0D0D0D" w:themeColor="text1" w:themeTint="F2"/>
        </w:rPr>
        <w:t xml:space="preserve"> e aksesimi</w:t>
      </w:r>
      <w:r w:rsidR="00CC7130" w:rsidRPr="00000F0F">
        <w:rPr>
          <w:color w:val="0D0D0D" w:themeColor="text1" w:themeTint="F2"/>
        </w:rPr>
        <w:t>t dhe hyrjes në këtë platform, e cila të jetë</w:t>
      </w:r>
      <w:r w:rsidR="007F4B40" w:rsidRPr="00000F0F">
        <w:rPr>
          <w:color w:val="0D0D0D" w:themeColor="text1" w:themeTint="F2"/>
        </w:rPr>
        <w:t xml:space="preserve"> në p</w:t>
      </w:r>
      <w:r w:rsidR="005D22D9" w:rsidRPr="00000F0F">
        <w:rPr>
          <w:color w:val="0D0D0D" w:themeColor="text1" w:themeTint="F2"/>
        </w:rPr>
        <w:t>ë</w:t>
      </w:r>
      <w:r w:rsidR="007F4B40" w:rsidRPr="00000F0F">
        <w:rPr>
          <w:color w:val="0D0D0D" w:themeColor="text1" w:themeTint="F2"/>
        </w:rPr>
        <w:t>rputh</w:t>
      </w:r>
      <w:r w:rsidR="00CC7130" w:rsidRPr="00000F0F">
        <w:rPr>
          <w:color w:val="0D0D0D" w:themeColor="text1" w:themeTint="F2"/>
        </w:rPr>
        <w:t>sh</w:t>
      </w:r>
      <w:r w:rsidR="007F4B40" w:rsidRPr="00000F0F">
        <w:rPr>
          <w:color w:val="0D0D0D" w:themeColor="text1" w:themeTint="F2"/>
        </w:rPr>
        <w:t xml:space="preserve">mëri të plotë me legjislacionin e mbrojtjes së të dhënave personale. Kjo ka bërë që </w:t>
      </w:r>
      <w:r w:rsidR="00CC7130" w:rsidRPr="00000F0F">
        <w:rPr>
          <w:color w:val="0D0D0D" w:themeColor="text1" w:themeTint="F2"/>
        </w:rPr>
        <w:t>ende Zyra</w:t>
      </w:r>
      <w:r w:rsidR="00AB3FCB" w:rsidRPr="00000F0F">
        <w:rPr>
          <w:color w:val="0D0D0D" w:themeColor="text1" w:themeTint="F2"/>
        </w:rPr>
        <w:t xml:space="preserve"> </w:t>
      </w:r>
      <w:r w:rsidR="001038A8" w:rsidRPr="00000F0F">
        <w:rPr>
          <w:color w:val="0D0D0D" w:themeColor="text1" w:themeTint="F2"/>
        </w:rPr>
        <w:t xml:space="preserve">e Komisionerit </w:t>
      </w:r>
      <w:r w:rsidR="00AB3FCB" w:rsidRPr="00000F0F">
        <w:rPr>
          <w:color w:val="0D0D0D" w:themeColor="text1" w:themeTint="F2"/>
        </w:rPr>
        <w:t xml:space="preserve">të mos jetë e përfshirë në këtë sistem të qëndërzuar </w:t>
      </w:r>
      <w:r w:rsidR="00CC7130" w:rsidRPr="00000F0F">
        <w:rPr>
          <w:color w:val="0D0D0D" w:themeColor="text1" w:themeTint="F2"/>
        </w:rPr>
        <w:t>tashmë, për secilin modul</w:t>
      </w:r>
      <w:r w:rsidR="00AB3FCB" w:rsidRPr="00000F0F">
        <w:rPr>
          <w:color w:val="0D0D0D" w:themeColor="text1" w:themeTint="F2"/>
        </w:rPr>
        <w:t xml:space="preserve">: hedhja e të dhënave për </w:t>
      </w:r>
      <w:r w:rsidR="00867200" w:rsidRPr="00000F0F">
        <w:rPr>
          <w:color w:val="0D0D0D" w:themeColor="text1" w:themeTint="F2"/>
        </w:rPr>
        <w:t>përgatitjen e PBA 202</w:t>
      </w:r>
      <w:r w:rsidR="00911DAE" w:rsidRPr="00000F0F">
        <w:rPr>
          <w:color w:val="0D0D0D" w:themeColor="text1" w:themeTint="F2"/>
        </w:rPr>
        <w:t>3</w:t>
      </w:r>
      <w:r w:rsidR="00867200" w:rsidRPr="00000F0F">
        <w:rPr>
          <w:color w:val="0D0D0D" w:themeColor="text1" w:themeTint="F2"/>
        </w:rPr>
        <w:t>-202</w:t>
      </w:r>
      <w:r w:rsidR="00911DAE" w:rsidRPr="00000F0F">
        <w:rPr>
          <w:color w:val="0D0D0D" w:themeColor="text1" w:themeTint="F2"/>
        </w:rPr>
        <w:t>5</w:t>
      </w:r>
      <w:r w:rsidR="00CC7130" w:rsidRPr="00000F0F">
        <w:rPr>
          <w:color w:val="0D0D0D" w:themeColor="text1" w:themeTint="F2"/>
        </w:rPr>
        <w:t>, ekzekutimin/detajimin/monitorimin e buxhetit.</w:t>
      </w:r>
      <w:r w:rsidR="00715654" w:rsidRPr="00000F0F">
        <w:rPr>
          <w:color w:val="0D0D0D" w:themeColor="text1" w:themeTint="F2"/>
        </w:rPr>
        <w:t xml:space="preserve"> </w:t>
      </w:r>
      <w:r w:rsidR="00F558AE" w:rsidRPr="00000F0F">
        <w:rPr>
          <w:color w:val="0D0D0D" w:themeColor="text1" w:themeTint="F2"/>
        </w:rPr>
        <w:t xml:space="preserve"> </w:t>
      </w:r>
    </w:p>
    <w:p w:rsidR="00F558AE" w:rsidRPr="00000F0F" w:rsidRDefault="00F558AE" w:rsidP="00000F0F">
      <w:pPr>
        <w:spacing w:line="276" w:lineRule="auto"/>
        <w:jc w:val="both"/>
      </w:pPr>
    </w:p>
    <w:p w:rsidR="00F558AE" w:rsidRPr="00000F0F" w:rsidRDefault="00F558AE" w:rsidP="00000F0F">
      <w:pPr>
        <w:spacing w:line="276" w:lineRule="auto"/>
        <w:jc w:val="both"/>
      </w:pPr>
      <w:r w:rsidRPr="00000F0F">
        <w:t xml:space="preserve">Për Zyrën e </w:t>
      </w:r>
      <w:r w:rsidRPr="00000F0F">
        <w:rPr>
          <w:rFonts w:eastAsia="Batang"/>
        </w:rPr>
        <w:t xml:space="preserve">Komisionerit </w:t>
      </w:r>
      <w:r w:rsidRPr="00000F0F">
        <w:t>është miratuar vetëm një program buxhetor</w:t>
      </w:r>
      <w:r w:rsidR="002A3C97" w:rsidRPr="00000F0F">
        <w:t xml:space="preserve"> “</w:t>
      </w:r>
      <w:r w:rsidRPr="00000F0F">
        <w:t xml:space="preserve">Planifikim, menaxhim, administrim”,  buxheti i së cilës konsiston në mbështetjen logjistike të ushtrimit të kompetencave e funksioneve të zyrës, në drejtim të </w:t>
      </w:r>
      <w:r w:rsidRPr="00000F0F">
        <w:rPr>
          <w:lang w:eastAsia="en-US"/>
        </w:rPr>
        <w:t xml:space="preserve">monitorimit të ligjeve respektive, </w:t>
      </w:r>
      <w:r w:rsidRPr="00000F0F">
        <w:t xml:space="preserve">për arritjen e objektivave të përcaktuara për këtë program buxhetor. </w:t>
      </w:r>
    </w:p>
    <w:p w:rsidR="00F558AE" w:rsidRPr="00000F0F" w:rsidRDefault="00F558AE" w:rsidP="00000F0F">
      <w:pPr>
        <w:pStyle w:val="BodyText"/>
        <w:spacing w:after="0" w:line="276" w:lineRule="auto"/>
        <w:jc w:val="both"/>
        <w:rPr>
          <w:color w:val="0D0D0D" w:themeColor="text1" w:themeTint="F2"/>
        </w:rPr>
      </w:pPr>
    </w:p>
    <w:p w:rsidR="00DD3A37" w:rsidRPr="00000F0F" w:rsidRDefault="000F7C1E" w:rsidP="00000F0F">
      <w:pPr>
        <w:pStyle w:val="BodyText"/>
        <w:spacing w:after="0" w:line="276" w:lineRule="auto"/>
        <w:jc w:val="both"/>
        <w:rPr>
          <w:color w:val="0D0D0D" w:themeColor="text1" w:themeTint="F2"/>
        </w:rPr>
      </w:pPr>
      <w:r w:rsidRPr="00000F0F">
        <w:rPr>
          <w:color w:val="0D0D0D" w:themeColor="text1" w:themeTint="F2"/>
        </w:rPr>
        <w:t xml:space="preserve">Produkti i vetëm i Programit 0110, është </w:t>
      </w:r>
      <w:r w:rsidRPr="00000F0F">
        <w:rPr>
          <w:b/>
          <w:color w:val="0D0D0D" w:themeColor="text1" w:themeTint="F2"/>
        </w:rPr>
        <w:t>Mbikëqyrje/inspektime të kryera &amp; ankesa</w:t>
      </w:r>
      <w:r w:rsidR="00E07A12" w:rsidRPr="00000F0F">
        <w:rPr>
          <w:b/>
          <w:color w:val="0D0D0D" w:themeColor="text1" w:themeTint="F2"/>
        </w:rPr>
        <w:t xml:space="preserve"> të trajtuara,</w:t>
      </w:r>
      <w:r w:rsidR="00E07A12" w:rsidRPr="00000F0F">
        <w:rPr>
          <w:color w:val="0D0D0D" w:themeColor="text1" w:themeTint="F2"/>
        </w:rPr>
        <w:t xml:space="preserve"> ku parashikimi </w:t>
      </w:r>
      <w:r w:rsidR="00AA1988" w:rsidRPr="00000F0F">
        <w:rPr>
          <w:color w:val="0D0D0D" w:themeColor="text1" w:themeTint="F2"/>
        </w:rPr>
        <w:t xml:space="preserve">është </w:t>
      </w:r>
      <w:r w:rsidRPr="00000F0F">
        <w:rPr>
          <w:b/>
          <w:color w:val="0D0D0D" w:themeColor="text1" w:themeTint="F2"/>
        </w:rPr>
        <w:t>nr.</w:t>
      </w:r>
      <w:r w:rsidR="005814B3" w:rsidRPr="00000F0F">
        <w:rPr>
          <w:b/>
          <w:color w:val="0D0D0D" w:themeColor="text1" w:themeTint="F2"/>
        </w:rPr>
        <w:t>1660</w:t>
      </w:r>
      <w:r w:rsidRPr="00000F0F">
        <w:rPr>
          <w:b/>
          <w:color w:val="0D0D0D" w:themeColor="text1" w:themeTint="F2"/>
        </w:rPr>
        <w:t xml:space="preserve"> veprime</w:t>
      </w:r>
      <w:r w:rsidR="005814B3" w:rsidRPr="00000F0F">
        <w:rPr>
          <w:b/>
          <w:color w:val="0D0D0D" w:themeColor="text1" w:themeTint="F2"/>
        </w:rPr>
        <w:t>, i ndryshuar</w:t>
      </w:r>
    </w:p>
    <w:p w:rsidR="00867200" w:rsidRPr="00000F0F" w:rsidRDefault="00867200" w:rsidP="00000F0F">
      <w:pPr>
        <w:pStyle w:val="BodyText"/>
        <w:spacing w:after="0" w:line="276" w:lineRule="auto"/>
        <w:jc w:val="both"/>
        <w:rPr>
          <w:b/>
        </w:rPr>
      </w:pPr>
    </w:p>
    <w:p w:rsidR="00CA3D5C" w:rsidRPr="00000F0F" w:rsidRDefault="00CA3D5C" w:rsidP="00000F0F">
      <w:pPr>
        <w:pStyle w:val="BodyText"/>
        <w:spacing w:after="0" w:line="276" w:lineRule="auto"/>
        <w:jc w:val="both"/>
        <w:rPr>
          <w:b/>
        </w:rPr>
      </w:pPr>
      <w:r w:rsidRPr="00000F0F">
        <w:rPr>
          <w:b/>
        </w:rPr>
        <w:t xml:space="preserve">E drejta e informimit : </w:t>
      </w:r>
    </w:p>
    <w:p w:rsidR="00CA3D5C" w:rsidRPr="00000F0F" w:rsidRDefault="00CA3D5C" w:rsidP="00000F0F">
      <w:pPr>
        <w:pStyle w:val="BodyText"/>
        <w:spacing w:after="0" w:line="276" w:lineRule="auto"/>
        <w:jc w:val="both"/>
      </w:pPr>
    </w:p>
    <w:p w:rsidR="00CA3D5C" w:rsidRPr="00000F0F" w:rsidRDefault="00CA3D5C" w:rsidP="00000F0F">
      <w:pPr>
        <w:pStyle w:val="ListParagraph"/>
        <w:numPr>
          <w:ilvl w:val="0"/>
          <w:numId w:val="3"/>
        </w:numPr>
        <w:jc w:val="both"/>
        <w:rPr>
          <w:rFonts w:ascii="Times New Roman" w:hAnsi="Times New Roman"/>
          <w:b/>
          <w:sz w:val="24"/>
          <w:szCs w:val="24"/>
        </w:rPr>
      </w:pPr>
      <w:r w:rsidRPr="00000F0F">
        <w:rPr>
          <w:rFonts w:ascii="Times New Roman" w:hAnsi="Times New Roman"/>
          <w:b/>
          <w:sz w:val="24"/>
          <w:szCs w:val="24"/>
        </w:rPr>
        <w:t>Autoritetet Publike me programe dhe transparencë të plotë</w:t>
      </w:r>
    </w:p>
    <w:p w:rsidR="00CA3D5C" w:rsidRPr="00000F0F" w:rsidRDefault="00CA3D5C" w:rsidP="00000F0F">
      <w:pPr>
        <w:spacing w:line="276" w:lineRule="auto"/>
        <w:jc w:val="both"/>
        <w:rPr>
          <w:rFonts w:eastAsia="Calibri"/>
        </w:rPr>
      </w:pPr>
      <w:r w:rsidRPr="00000F0F">
        <w:t xml:space="preserve">Sigurimi i Transparencës së veprimtarisë së Autoriteteve Publike, nëpërmjet realizimit të proceseve të monitorimit/mbikëqyrjes së elementëve të ndryshëm të zbatimit të ligjit për </w:t>
      </w:r>
      <w:r w:rsidR="002C4ED1" w:rsidRPr="00000F0F">
        <w:t>të drejtën e informimit, të auto</w:t>
      </w:r>
      <w:r w:rsidRPr="00000F0F">
        <w:t>riteteve publike</w:t>
      </w:r>
      <w:r w:rsidRPr="00000F0F">
        <w:rPr>
          <w:rFonts w:eastAsia="Calibri"/>
        </w:rPr>
        <w:t>, të cilat kanë hartuar dhe/ose përditësuar programin e transparencës, forcimin e rolit të koordinatorit për të drejtën e informimit, përditësimi</w:t>
      </w:r>
      <w:r w:rsidR="002C4ED1" w:rsidRPr="00000F0F">
        <w:rPr>
          <w:rFonts w:eastAsia="Calibri"/>
        </w:rPr>
        <w:t xml:space="preserve"> në regjistrin</w:t>
      </w:r>
      <w:r w:rsidRPr="00000F0F">
        <w:rPr>
          <w:rFonts w:eastAsia="Calibri"/>
        </w:rPr>
        <w:t xml:space="preserve"> të kërkesave dhe përgjigjeve, shqyrtimin</w:t>
      </w:r>
      <w:r w:rsidR="002C4ED1" w:rsidRPr="00000F0F">
        <w:rPr>
          <w:rFonts w:eastAsia="Calibri"/>
        </w:rPr>
        <w:t xml:space="preserve"> </w:t>
      </w:r>
      <w:r w:rsidRPr="00000F0F">
        <w:rPr>
          <w:rFonts w:eastAsia="Calibri"/>
        </w:rPr>
        <w:t>e ankesave, kryerjen</w:t>
      </w:r>
      <w:r w:rsidR="002C4ED1" w:rsidRPr="00000F0F">
        <w:rPr>
          <w:rFonts w:eastAsia="Calibri"/>
        </w:rPr>
        <w:t xml:space="preserve"> </w:t>
      </w:r>
      <w:r w:rsidRPr="00000F0F">
        <w:rPr>
          <w:rFonts w:eastAsia="Calibri"/>
        </w:rPr>
        <w:t xml:space="preserve">e hetimeve administrative, seancave dëgjimore dhe dhënien e rekomandimeve e vendimeve. </w:t>
      </w:r>
    </w:p>
    <w:p w:rsidR="00CA3D5C" w:rsidRPr="00000F0F" w:rsidRDefault="00CA3D5C" w:rsidP="00000F0F">
      <w:pPr>
        <w:spacing w:line="276" w:lineRule="auto"/>
        <w:jc w:val="both"/>
      </w:pPr>
    </w:p>
    <w:p w:rsidR="00CA3D5C" w:rsidRPr="00000F0F" w:rsidRDefault="00CA3D5C" w:rsidP="00000F0F">
      <w:pPr>
        <w:pStyle w:val="ListParagraph"/>
        <w:numPr>
          <w:ilvl w:val="0"/>
          <w:numId w:val="3"/>
        </w:numPr>
        <w:spacing w:after="160"/>
        <w:jc w:val="both"/>
        <w:rPr>
          <w:rFonts w:ascii="Times New Roman" w:hAnsi="Times New Roman"/>
          <w:sz w:val="24"/>
          <w:szCs w:val="24"/>
        </w:rPr>
      </w:pPr>
      <w:r w:rsidRPr="00000F0F">
        <w:rPr>
          <w:rFonts w:ascii="Times New Roman" w:hAnsi="Times New Roman"/>
          <w:b/>
          <w:sz w:val="24"/>
          <w:szCs w:val="24"/>
        </w:rPr>
        <w:t>Trajtim i ankesave brenda</w:t>
      </w:r>
      <w:r w:rsidRPr="00000F0F">
        <w:rPr>
          <w:rFonts w:ascii="Times New Roman" w:hAnsi="Times New Roman"/>
          <w:sz w:val="24"/>
          <w:szCs w:val="24"/>
        </w:rPr>
        <w:t xml:space="preserve"> afateve dhe (kthim përgjigje/inspektime/vendime, kryesisht në bazë të ankesave).</w:t>
      </w:r>
    </w:p>
    <w:p w:rsidR="00CA3D5C" w:rsidRPr="00000F0F" w:rsidRDefault="00CA3D5C" w:rsidP="00000F0F">
      <w:pPr>
        <w:spacing w:after="160" w:line="276" w:lineRule="auto"/>
        <w:jc w:val="both"/>
      </w:pPr>
      <w:r w:rsidRPr="00000F0F">
        <w:t>Ankesa të trajtuara në kuadër të parashikimeve të Ligjit “Për të Drejtën e Informimit” si dhe Ligjit “Për njoft</w:t>
      </w:r>
      <w:r w:rsidR="00A21D52" w:rsidRPr="00000F0F">
        <w:t>i</w:t>
      </w:r>
      <w:r w:rsidRPr="00000F0F">
        <w:t>min dhe konsultimin publik”, hetime të kryera, seanca dëgjimore të zhvilluara si dhe vendime të dhëna, duke rritur në këtë mënyrë kontrollin mbi veprimtarinë e administratës publike, garantimi i të drejtave të qytetarëve dhe aksesi në informacion.</w:t>
      </w:r>
    </w:p>
    <w:p w:rsidR="00CA3D5C" w:rsidRPr="00000F0F" w:rsidRDefault="00CA3D5C" w:rsidP="00000F0F">
      <w:pPr>
        <w:spacing w:line="276" w:lineRule="auto"/>
        <w:jc w:val="both"/>
        <w:rPr>
          <w:b/>
        </w:rPr>
      </w:pPr>
      <w:r w:rsidRPr="00000F0F">
        <w:rPr>
          <w:b/>
        </w:rPr>
        <w:t xml:space="preserve">Mbrojtja e të dhënave personale </w:t>
      </w:r>
    </w:p>
    <w:p w:rsidR="00CA3D5C" w:rsidRPr="00000F0F" w:rsidRDefault="00CA3D5C" w:rsidP="00000F0F">
      <w:pPr>
        <w:pStyle w:val="BodyText"/>
        <w:spacing w:after="0" w:line="276" w:lineRule="auto"/>
        <w:jc w:val="both"/>
      </w:pPr>
    </w:p>
    <w:p w:rsidR="00CA3D5C" w:rsidRPr="00000F0F" w:rsidRDefault="00CA3D5C" w:rsidP="00000F0F">
      <w:pPr>
        <w:pStyle w:val="BodyText"/>
        <w:numPr>
          <w:ilvl w:val="0"/>
          <w:numId w:val="3"/>
        </w:numPr>
        <w:spacing w:after="0" w:line="276" w:lineRule="auto"/>
        <w:jc w:val="both"/>
        <w:rPr>
          <w:b/>
        </w:rPr>
      </w:pPr>
      <w:r w:rsidRPr="00000F0F">
        <w:rPr>
          <w:b/>
        </w:rPr>
        <w:t>Mbikëqyrje dhe inspektime.</w:t>
      </w:r>
    </w:p>
    <w:p w:rsidR="00CA3D5C" w:rsidRPr="00000F0F" w:rsidRDefault="00CA3D5C" w:rsidP="00000F0F">
      <w:pPr>
        <w:pStyle w:val="BodyText"/>
        <w:spacing w:after="0" w:line="276" w:lineRule="auto"/>
        <w:ind w:left="720"/>
        <w:jc w:val="both"/>
        <w:rPr>
          <w:b/>
        </w:rPr>
      </w:pPr>
    </w:p>
    <w:p w:rsidR="00CA3D5C" w:rsidRPr="00000F0F" w:rsidRDefault="00CA3D5C" w:rsidP="00000F0F">
      <w:pPr>
        <w:pStyle w:val="BodyText"/>
        <w:spacing w:after="0" w:line="276" w:lineRule="auto"/>
        <w:jc w:val="both"/>
      </w:pPr>
      <w:r w:rsidRPr="00000F0F">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CA3D5C" w:rsidRPr="00000F0F" w:rsidRDefault="00CA3D5C" w:rsidP="00000F0F">
      <w:pPr>
        <w:pStyle w:val="BodyText"/>
        <w:spacing w:after="0" w:line="276" w:lineRule="auto"/>
        <w:jc w:val="both"/>
      </w:pPr>
    </w:p>
    <w:p w:rsidR="00CA3D5C" w:rsidRPr="00000F0F" w:rsidRDefault="00CA3D5C" w:rsidP="00000F0F">
      <w:pPr>
        <w:pStyle w:val="ListParagraph"/>
        <w:numPr>
          <w:ilvl w:val="0"/>
          <w:numId w:val="3"/>
        </w:numPr>
        <w:jc w:val="both"/>
        <w:rPr>
          <w:rFonts w:ascii="Times New Roman" w:hAnsi="Times New Roman"/>
          <w:b/>
          <w:sz w:val="24"/>
          <w:szCs w:val="24"/>
        </w:rPr>
      </w:pPr>
      <w:r w:rsidRPr="00000F0F">
        <w:rPr>
          <w:rFonts w:ascii="Times New Roman" w:hAnsi="Times New Roman"/>
          <w:b/>
          <w:sz w:val="24"/>
          <w:szCs w:val="24"/>
        </w:rPr>
        <w:t>Ankesa të trajtuara</w:t>
      </w:r>
    </w:p>
    <w:p w:rsidR="00A708BD" w:rsidRPr="00000F0F" w:rsidRDefault="00A708BD" w:rsidP="00000F0F">
      <w:pPr>
        <w:pStyle w:val="ListParagraph"/>
        <w:jc w:val="both"/>
        <w:rPr>
          <w:rFonts w:ascii="Times New Roman" w:hAnsi="Times New Roman"/>
          <w:b/>
          <w:sz w:val="24"/>
          <w:szCs w:val="24"/>
        </w:rPr>
      </w:pPr>
    </w:p>
    <w:p w:rsidR="00CA3D5C" w:rsidRPr="00000F0F" w:rsidRDefault="00CA3D5C" w:rsidP="00000F0F">
      <w:pPr>
        <w:pStyle w:val="ListParagraph"/>
        <w:spacing w:after="120"/>
        <w:ind w:left="0"/>
        <w:contextualSpacing w:val="0"/>
        <w:jc w:val="both"/>
        <w:rPr>
          <w:rFonts w:ascii="Times New Roman" w:hAnsi="Times New Roman"/>
          <w:bCs/>
          <w:sz w:val="24"/>
          <w:szCs w:val="24"/>
        </w:rPr>
      </w:pPr>
      <w:r w:rsidRPr="00000F0F">
        <w:rPr>
          <w:rFonts w:ascii="Times New Roman" w:hAnsi="Times New Roman"/>
          <w:sz w:val="24"/>
          <w:szCs w:val="24"/>
        </w:rPr>
        <w:t xml:space="preserve">Trajtimi në kohë i ankesave të ardhura </w:t>
      </w:r>
      <w:r w:rsidRPr="00000F0F">
        <w:rPr>
          <w:rFonts w:ascii="Times New Roman" w:hAnsi="Times New Roman"/>
          <w:bCs/>
          <w:sz w:val="24"/>
          <w:szCs w:val="24"/>
        </w:rPr>
        <w:t xml:space="preserve">nga subjektet e të dhënave personale, </w:t>
      </w:r>
      <w:r w:rsidRPr="00000F0F">
        <w:rPr>
          <w:rFonts w:ascii="Times New Roman" w:hAnsi="Times New Roman"/>
          <w:sz w:val="24"/>
          <w:szCs w:val="24"/>
        </w:rPr>
        <w:t>në kuadër të ligjshmërisë së përpunimit të të dhënave personale.</w:t>
      </w:r>
      <w:r w:rsidRPr="00000F0F">
        <w:rPr>
          <w:rFonts w:ascii="Times New Roman" w:hAnsi="Times New Roman"/>
          <w:bCs/>
          <w:sz w:val="24"/>
          <w:szCs w:val="24"/>
        </w:rPr>
        <w:t xml:space="preserve">Për zgjidhjen dhe trajtimin e ankesave ndiqen hapa procedurale si kontaktimi i vazhdueshëm me subjektin mbi paraqitjen e provave, kërkesë informacioni paraprake nga kontrolluesi, </w:t>
      </w:r>
      <w:r w:rsidRPr="00000F0F">
        <w:rPr>
          <w:rFonts w:ascii="Times New Roman" w:hAnsi="Times New Roman"/>
          <w:sz w:val="24"/>
          <w:szCs w:val="24"/>
        </w:rPr>
        <w:t xml:space="preserve">seanca dëgjimore të zhvilluara </w:t>
      </w:r>
      <w:r w:rsidRPr="00000F0F">
        <w:rPr>
          <w:rFonts w:ascii="Times New Roman" w:hAnsi="Times New Roman"/>
          <w:bCs/>
          <w:sz w:val="24"/>
          <w:szCs w:val="24"/>
        </w:rPr>
        <w:t xml:space="preserve">deri në zgjidhjen përfundimtare </w:t>
      </w:r>
      <w:r w:rsidRPr="00000F0F">
        <w:rPr>
          <w:rFonts w:ascii="Times New Roman" w:hAnsi="Times New Roman"/>
          <w:sz w:val="24"/>
          <w:szCs w:val="24"/>
        </w:rPr>
        <w:t>dhe vendimet e dhëna, duke rritur në këtë mënyrë kontrollin mbi vepr</w:t>
      </w:r>
      <w:r w:rsidR="00441F14" w:rsidRPr="00000F0F">
        <w:rPr>
          <w:rFonts w:ascii="Times New Roman" w:hAnsi="Times New Roman"/>
          <w:sz w:val="24"/>
          <w:szCs w:val="24"/>
        </w:rPr>
        <w:t>imtarinë e kontrolluesve publik e privat</w:t>
      </w:r>
      <w:r w:rsidRPr="00000F0F">
        <w:rPr>
          <w:rFonts w:ascii="Times New Roman" w:hAnsi="Times New Roman"/>
          <w:sz w:val="24"/>
          <w:szCs w:val="24"/>
        </w:rPr>
        <w:t xml:space="preserve"> </w:t>
      </w:r>
    </w:p>
    <w:p w:rsidR="00BB4A9D" w:rsidRPr="00000F0F" w:rsidRDefault="00F558AE" w:rsidP="00000F0F">
      <w:pPr>
        <w:spacing w:line="276" w:lineRule="auto"/>
        <w:jc w:val="both"/>
      </w:pPr>
      <w:r w:rsidRPr="00000F0F">
        <w:t xml:space="preserve"> </w:t>
      </w:r>
    </w:p>
    <w:p w:rsidR="00BB4A9D" w:rsidRPr="00000F0F" w:rsidRDefault="00BB4A9D" w:rsidP="00000F0F">
      <w:pPr>
        <w:spacing w:line="276" w:lineRule="auto"/>
        <w:jc w:val="both"/>
      </w:pPr>
      <w:r w:rsidRPr="00000F0F">
        <w:t xml:space="preserve">Zyra e Komisionerit  ka kryer monitorimin e buxhetit të vitit 2022, nëpërmjet vlerësimit të performancës së fondeve buxhetore dhe krahasimit të treguesve faktikë të performancës me ato të planifikuar. Nëpërmjet këtij raporti monitorimi evidentohet niveli i realizimit të fondeve buxhetore të KDIMDP-së të detajuar në nivel kategori shpenzimi buxhetor kundrejt treguesve të planifikuar, duke mundësuar në këtë mënyrë riorientimin dhe sigurimin e një informacioni shtesë për të përmirësuar procesin e planifikimit dhe të menaxhimit të buxhetit. Në vijimësi dhe strukturat respektive të KDIMDP-së kanë kryer monitorimin e treguesve buxhetore më qëllim ndjekjen e vazhdueshme të objektivave të </w:t>
      </w:r>
      <w:r w:rsidRPr="00000F0F">
        <w:lastRenderedPageBreak/>
        <w:t>synuar dhe të përcaktuar në Deklaratën e politikës së programit të KDIMDP-së të përfshirë në Strategjinë   Institucionale 2022-2025.</w:t>
      </w:r>
    </w:p>
    <w:p w:rsidR="00BB4A9D" w:rsidRPr="00000F0F" w:rsidRDefault="00BB4A9D" w:rsidP="00000F0F">
      <w:pPr>
        <w:spacing w:line="276" w:lineRule="auto"/>
        <w:jc w:val="both"/>
      </w:pPr>
    </w:p>
    <w:p w:rsidR="00BB4A9D" w:rsidRPr="00000F0F" w:rsidRDefault="00BB4A9D" w:rsidP="00000F0F">
      <w:pPr>
        <w:spacing w:line="276" w:lineRule="auto"/>
        <w:jc w:val="both"/>
      </w:pPr>
      <w:r w:rsidRPr="00000F0F">
        <w:t>Në mbështetje të Ligjit nr.115/2021 “Për buxhetin e vitit 2022”, Akteve  Normative “Për disa ndryshime në Ligjin 115/2021 “ Për buxhetin e vitit 2022”, dhe në vijim të udhëzim</w:t>
      </w:r>
      <w:r w:rsidR="00F558AE" w:rsidRPr="00000F0F">
        <w:t xml:space="preserve">eve </w:t>
      </w:r>
      <w:r w:rsidRPr="00000F0F">
        <w:t xml:space="preserve"> të Ministrit të Financave dhe Ekonomisë nr. 9, datë 20.07.2018, “Procedurat standarde të zba</w:t>
      </w:r>
      <w:r w:rsidR="00F558AE" w:rsidRPr="00000F0F">
        <w:t xml:space="preserve">timit të buxhetit” i ndryshuar dhe </w:t>
      </w:r>
      <w:r w:rsidR="00BD7D83" w:rsidRPr="00000F0F">
        <w:rPr>
          <w:color w:val="262626" w:themeColor="text1" w:themeTint="D9"/>
        </w:rPr>
        <w:t>Udhëzimit plotësues nr.1, datë 10/01/2022 “Për zbatimin e buxhetit të vitit 2022”</w:t>
      </w:r>
      <w:r w:rsidR="00BD7D83" w:rsidRPr="00000F0F">
        <w:t xml:space="preserve"> </w:t>
      </w:r>
      <w:r w:rsidRPr="00000F0F">
        <w:t>,</w:t>
      </w:r>
      <w:r w:rsidR="00BD7D83" w:rsidRPr="00000F0F">
        <w:t xml:space="preserve"> </w:t>
      </w:r>
      <w:proofErr w:type="spellStart"/>
      <w:r w:rsidR="00BD7D83" w:rsidRPr="00000F0F">
        <w:rPr>
          <w:color w:val="0D0D0D"/>
          <w:lang w:val="en-US"/>
        </w:rPr>
        <w:t>fondet</w:t>
      </w:r>
      <w:proofErr w:type="spellEnd"/>
      <w:r w:rsidR="00BD7D83" w:rsidRPr="00000F0F">
        <w:rPr>
          <w:color w:val="0D0D0D"/>
          <w:lang w:val="en-US"/>
        </w:rPr>
        <w:t xml:space="preserve"> e </w:t>
      </w:r>
      <w:proofErr w:type="spellStart"/>
      <w:r w:rsidR="00BD7D83" w:rsidRPr="00000F0F">
        <w:rPr>
          <w:color w:val="0D0D0D"/>
          <w:lang w:val="en-US"/>
        </w:rPr>
        <w:t>akorduara</w:t>
      </w:r>
      <w:proofErr w:type="spellEnd"/>
      <w:r w:rsidR="00BD7D83" w:rsidRPr="00000F0F">
        <w:rPr>
          <w:color w:val="0D0D0D"/>
          <w:lang w:val="en-US"/>
        </w:rPr>
        <w:t xml:space="preserve"> </w:t>
      </w:r>
      <w:proofErr w:type="spellStart"/>
      <w:r w:rsidR="00BD7D83" w:rsidRPr="00000F0F">
        <w:rPr>
          <w:color w:val="0D0D0D"/>
          <w:lang w:val="en-US"/>
        </w:rPr>
        <w:t>për</w:t>
      </w:r>
      <w:proofErr w:type="spellEnd"/>
      <w:r w:rsidR="00BD7D83" w:rsidRPr="00000F0F">
        <w:rPr>
          <w:color w:val="0D0D0D"/>
          <w:lang w:val="en-US"/>
        </w:rPr>
        <w:t xml:space="preserve"> </w:t>
      </w:r>
      <w:proofErr w:type="spellStart"/>
      <w:r w:rsidR="00BD7D83" w:rsidRPr="00000F0F">
        <w:rPr>
          <w:color w:val="0D0D0D"/>
          <w:lang w:val="en-US"/>
        </w:rPr>
        <w:t>Zyrën</w:t>
      </w:r>
      <w:proofErr w:type="spellEnd"/>
      <w:r w:rsidR="00BD7D83" w:rsidRPr="00000F0F">
        <w:rPr>
          <w:color w:val="0D0D0D"/>
          <w:lang w:val="en-US"/>
        </w:rPr>
        <w:t xml:space="preserve"> e </w:t>
      </w:r>
      <w:proofErr w:type="spellStart"/>
      <w:r w:rsidR="00BD7D83" w:rsidRPr="00000F0F">
        <w:rPr>
          <w:color w:val="0D0D0D"/>
          <w:lang w:val="en-US"/>
        </w:rPr>
        <w:t>Komisionerit</w:t>
      </w:r>
      <w:proofErr w:type="spellEnd"/>
      <w:r w:rsidR="00BD7D83" w:rsidRPr="00000F0F">
        <w:rPr>
          <w:color w:val="0D0D0D"/>
          <w:lang w:val="en-US"/>
        </w:rPr>
        <w:t xml:space="preserve">, </w:t>
      </w:r>
      <w:proofErr w:type="spellStart"/>
      <w:r w:rsidR="00BD7D83" w:rsidRPr="00000F0F">
        <w:rPr>
          <w:color w:val="0D0D0D"/>
          <w:lang w:val="en-US"/>
        </w:rPr>
        <w:t>në</w:t>
      </w:r>
      <w:proofErr w:type="spellEnd"/>
      <w:r w:rsidR="00BD7D83" w:rsidRPr="00000F0F">
        <w:rPr>
          <w:color w:val="0D0D0D"/>
          <w:lang w:val="en-US"/>
        </w:rPr>
        <w:t xml:space="preserve"> total u </w:t>
      </w:r>
      <w:proofErr w:type="spellStart"/>
      <w:r w:rsidR="00BD7D83" w:rsidRPr="00000F0F">
        <w:rPr>
          <w:color w:val="0D0D0D"/>
          <w:lang w:val="en-US"/>
        </w:rPr>
        <w:t>miratuan</w:t>
      </w:r>
      <w:proofErr w:type="spellEnd"/>
      <w:r w:rsidR="00BD7D83" w:rsidRPr="00000F0F">
        <w:rPr>
          <w:color w:val="0D0D0D"/>
          <w:lang w:val="en-US"/>
        </w:rPr>
        <w:t xml:space="preserve"> </w:t>
      </w:r>
      <w:proofErr w:type="spellStart"/>
      <w:r w:rsidR="00BD7D83" w:rsidRPr="00000F0F">
        <w:rPr>
          <w:color w:val="0D0D0D"/>
          <w:lang w:val="en-US"/>
        </w:rPr>
        <w:t>në</w:t>
      </w:r>
      <w:proofErr w:type="spellEnd"/>
      <w:r w:rsidR="00BD7D83" w:rsidRPr="00000F0F">
        <w:rPr>
          <w:color w:val="0D0D0D"/>
          <w:lang w:val="en-US"/>
        </w:rPr>
        <w:t xml:space="preserve"> </w:t>
      </w:r>
      <w:proofErr w:type="spellStart"/>
      <w:r w:rsidR="00BD7D83" w:rsidRPr="00000F0F">
        <w:rPr>
          <w:color w:val="0D0D0D"/>
          <w:lang w:val="en-US"/>
        </w:rPr>
        <w:t>vlerën</w:t>
      </w:r>
      <w:proofErr w:type="spellEnd"/>
      <w:r w:rsidR="00BD7D83" w:rsidRPr="00000F0F">
        <w:rPr>
          <w:color w:val="0D0D0D"/>
          <w:lang w:val="en-US"/>
        </w:rPr>
        <w:t xml:space="preserve"> </w:t>
      </w:r>
      <w:r w:rsidR="00BD7D83" w:rsidRPr="00000F0F">
        <w:rPr>
          <w:bCs/>
          <w:iCs/>
          <w:color w:val="0D0D0D"/>
          <w:lang w:val="pt-BR"/>
        </w:rPr>
        <w:t>78.340</w:t>
      </w:r>
      <w:r w:rsidR="00BD7D83" w:rsidRPr="00000F0F">
        <w:rPr>
          <w:b/>
          <w:bCs/>
          <w:i/>
          <w:iCs/>
          <w:color w:val="0D0D0D"/>
          <w:lang w:val="pt-BR"/>
        </w:rPr>
        <w:t> </w:t>
      </w:r>
      <w:r w:rsidR="00BD7D83" w:rsidRPr="00000F0F">
        <w:rPr>
          <w:color w:val="0D0D0D"/>
          <w:lang w:val="en-US"/>
        </w:rPr>
        <w:t>(</w:t>
      </w:r>
      <w:proofErr w:type="spellStart"/>
      <w:r w:rsidR="00BD7D83" w:rsidRPr="00000F0F">
        <w:rPr>
          <w:color w:val="0D0D0D"/>
          <w:lang w:val="en-US"/>
        </w:rPr>
        <w:t>mijë</w:t>
      </w:r>
      <w:proofErr w:type="spellEnd"/>
      <w:r w:rsidR="00BD7D83" w:rsidRPr="00000F0F">
        <w:rPr>
          <w:color w:val="0D0D0D"/>
          <w:lang w:val="en-US"/>
        </w:rPr>
        <w:t xml:space="preserve"> </w:t>
      </w:r>
      <w:proofErr w:type="spellStart"/>
      <w:r w:rsidR="00BD7D83" w:rsidRPr="00000F0F">
        <w:rPr>
          <w:color w:val="0D0D0D"/>
          <w:lang w:val="en-US"/>
        </w:rPr>
        <w:t>lekë</w:t>
      </w:r>
      <w:proofErr w:type="spellEnd"/>
      <w:r w:rsidR="00BD7D83" w:rsidRPr="00000F0F">
        <w:rPr>
          <w:color w:val="0D0D0D"/>
          <w:lang w:val="en-US"/>
        </w:rPr>
        <w:t xml:space="preserve">).  Me </w:t>
      </w:r>
      <w:proofErr w:type="spellStart"/>
      <w:r w:rsidR="00BD7D83" w:rsidRPr="00000F0F">
        <w:rPr>
          <w:color w:val="0D0D0D"/>
          <w:lang w:val="en-US"/>
        </w:rPr>
        <w:t>ndryshimet</w:t>
      </w:r>
      <w:proofErr w:type="spellEnd"/>
      <w:r w:rsidR="00BD7D83" w:rsidRPr="00000F0F">
        <w:rPr>
          <w:color w:val="0D0D0D"/>
          <w:lang w:val="en-US"/>
        </w:rPr>
        <w:t xml:space="preserve"> </w:t>
      </w:r>
      <w:proofErr w:type="spellStart"/>
      <w:r w:rsidR="00BD7D83" w:rsidRPr="00000F0F">
        <w:rPr>
          <w:color w:val="0D0D0D"/>
          <w:lang w:val="en-US"/>
        </w:rPr>
        <w:t>gjatë</w:t>
      </w:r>
      <w:proofErr w:type="spellEnd"/>
      <w:r w:rsidR="00BD7D83" w:rsidRPr="00000F0F">
        <w:rPr>
          <w:color w:val="0D0D0D"/>
          <w:lang w:val="en-US"/>
        </w:rPr>
        <w:t xml:space="preserve"> </w:t>
      </w:r>
      <w:proofErr w:type="spellStart"/>
      <w:r w:rsidR="00BD7D83" w:rsidRPr="00000F0F">
        <w:rPr>
          <w:color w:val="0D0D0D"/>
          <w:lang w:val="en-US"/>
        </w:rPr>
        <w:t>vitit</w:t>
      </w:r>
      <w:proofErr w:type="spellEnd"/>
      <w:r w:rsidR="00BD7D83" w:rsidRPr="00000F0F">
        <w:rPr>
          <w:color w:val="0D0D0D"/>
          <w:lang w:val="en-US"/>
        </w:rPr>
        <w:t xml:space="preserve"> </w:t>
      </w:r>
      <w:proofErr w:type="spellStart"/>
      <w:r w:rsidR="00BD7D83" w:rsidRPr="00000F0F">
        <w:rPr>
          <w:color w:val="0D0D0D"/>
          <w:lang w:val="en-US"/>
        </w:rPr>
        <w:t>buxheti</w:t>
      </w:r>
      <w:proofErr w:type="spellEnd"/>
      <w:r w:rsidR="00BD7D83" w:rsidRPr="00000F0F">
        <w:rPr>
          <w:color w:val="0D0D0D"/>
          <w:lang w:val="en-US"/>
        </w:rPr>
        <w:t xml:space="preserve"> </w:t>
      </w:r>
      <w:proofErr w:type="spellStart"/>
      <w:r w:rsidR="00BD7D83" w:rsidRPr="00000F0F">
        <w:rPr>
          <w:color w:val="0D0D0D"/>
          <w:lang w:val="en-US"/>
        </w:rPr>
        <w:t>përfundimtar</w:t>
      </w:r>
      <w:proofErr w:type="spellEnd"/>
      <w:r w:rsidR="00BD7D83" w:rsidRPr="00000F0F">
        <w:rPr>
          <w:color w:val="0D0D0D"/>
          <w:lang w:val="en-US"/>
        </w:rPr>
        <w:t xml:space="preserve"> </w:t>
      </w:r>
      <w:proofErr w:type="spellStart"/>
      <w:r w:rsidR="00BD7D83" w:rsidRPr="00000F0F">
        <w:rPr>
          <w:color w:val="0D0D0D"/>
          <w:lang w:val="en-US"/>
        </w:rPr>
        <w:t>shkoi</w:t>
      </w:r>
      <w:proofErr w:type="spellEnd"/>
      <w:r w:rsidR="00BD7D83" w:rsidRPr="00000F0F">
        <w:rPr>
          <w:color w:val="0D0D0D"/>
          <w:lang w:val="en-US"/>
        </w:rPr>
        <w:t xml:space="preserve"> </w:t>
      </w:r>
      <w:proofErr w:type="spellStart"/>
      <w:r w:rsidR="00BD7D83" w:rsidRPr="00000F0F">
        <w:rPr>
          <w:color w:val="0D0D0D"/>
          <w:lang w:val="en-US"/>
        </w:rPr>
        <w:t>në</w:t>
      </w:r>
      <w:proofErr w:type="spellEnd"/>
      <w:r w:rsidR="00BD7D83" w:rsidRPr="00000F0F">
        <w:rPr>
          <w:color w:val="0D0D0D"/>
          <w:lang w:val="en-US"/>
        </w:rPr>
        <w:t xml:space="preserve"> </w:t>
      </w:r>
      <w:proofErr w:type="spellStart"/>
      <w:r w:rsidR="00BD7D83" w:rsidRPr="00000F0F">
        <w:rPr>
          <w:color w:val="0D0D0D"/>
          <w:lang w:val="en-US"/>
        </w:rPr>
        <w:t>vlerën</w:t>
      </w:r>
      <w:proofErr w:type="spellEnd"/>
      <w:r w:rsidR="00BD7D83" w:rsidRPr="00000F0F">
        <w:rPr>
          <w:color w:val="0D0D0D"/>
          <w:lang w:val="en-US"/>
        </w:rPr>
        <w:t xml:space="preserve"> </w:t>
      </w:r>
      <w:r w:rsidR="00BD7D83" w:rsidRPr="00000F0F">
        <w:rPr>
          <w:b/>
          <w:bCs/>
          <w:color w:val="000000"/>
          <w:lang w:val="en-US"/>
        </w:rPr>
        <w:t>79.252</w:t>
      </w:r>
      <w:r w:rsidR="00BD7D83" w:rsidRPr="00000F0F">
        <w:rPr>
          <w:color w:val="000000"/>
          <w:lang w:val="en-US"/>
        </w:rPr>
        <w:t xml:space="preserve"> (</w:t>
      </w:r>
      <w:proofErr w:type="spellStart"/>
      <w:r w:rsidR="00BD7D83" w:rsidRPr="00000F0F">
        <w:rPr>
          <w:color w:val="000000"/>
          <w:lang w:val="en-US"/>
        </w:rPr>
        <w:t>mijë</w:t>
      </w:r>
      <w:proofErr w:type="spellEnd"/>
      <w:r w:rsidR="00BD7D83" w:rsidRPr="00000F0F">
        <w:rPr>
          <w:color w:val="000000"/>
          <w:lang w:val="en-US"/>
        </w:rPr>
        <w:t xml:space="preserve"> </w:t>
      </w:r>
      <w:proofErr w:type="spellStart"/>
      <w:r w:rsidR="00BD7D83" w:rsidRPr="00000F0F">
        <w:rPr>
          <w:color w:val="000000"/>
          <w:lang w:val="en-US"/>
        </w:rPr>
        <w:t>lekë</w:t>
      </w:r>
      <w:proofErr w:type="spellEnd"/>
      <w:r w:rsidR="00BD7D83" w:rsidRPr="00000F0F">
        <w:rPr>
          <w:color w:val="000000"/>
          <w:lang w:val="en-US"/>
        </w:rPr>
        <w:t xml:space="preserve">), </w:t>
      </w:r>
      <w:proofErr w:type="spellStart"/>
      <w:r w:rsidR="00BD7D83" w:rsidRPr="00000F0F">
        <w:rPr>
          <w:color w:val="000000"/>
          <w:lang w:val="en-US"/>
        </w:rPr>
        <w:t>ndërsa</w:t>
      </w:r>
      <w:proofErr w:type="spellEnd"/>
      <w:r w:rsidR="00BD7D83" w:rsidRPr="00000F0F">
        <w:rPr>
          <w:color w:val="000000"/>
          <w:lang w:val="en-US"/>
        </w:rPr>
        <w:t xml:space="preserve"> </w:t>
      </w:r>
      <w:proofErr w:type="spellStart"/>
      <w:r w:rsidR="00BD7D83" w:rsidRPr="00000F0F">
        <w:rPr>
          <w:color w:val="000000"/>
          <w:lang w:val="en-US"/>
        </w:rPr>
        <w:t>realizimi</w:t>
      </w:r>
      <w:proofErr w:type="spellEnd"/>
      <w:r w:rsidR="00BD7D83" w:rsidRPr="00000F0F">
        <w:rPr>
          <w:color w:val="000000"/>
          <w:lang w:val="en-US"/>
        </w:rPr>
        <w:t xml:space="preserve"> </w:t>
      </w:r>
      <w:proofErr w:type="spellStart"/>
      <w:r w:rsidR="00BD7D83" w:rsidRPr="00000F0F">
        <w:rPr>
          <w:color w:val="000000"/>
          <w:lang w:val="en-US"/>
        </w:rPr>
        <w:t>i</w:t>
      </w:r>
      <w:proofErr w:type="spellEnd"/>
      <w:r w:rsidR="00BD7D83" w:rsidRPr="00000F0F">
        <w:rPr>
          <w:color w:val="000000"/>
          <w:lang w:val="en-US"/>
        </w:rPr>
        <w:t xml:space="preserve"> </w:t>
      </w:r>
      <w:proofErr w:type="spellStart"/>
      <w:proofErr w:type="gramStart"/>
      <w:r w:rsidR="00BD7D83" w:rsidRPr="00000F0F">
        <w:rPr>
          <w:color w:val="000000"/>
          <w:lang w:val="en-US"/>
        </w:rPr>
        <w:t>buxhetit</w:t>
      </w:r>
      <w:proofErr w:type="spellEnd"/>
      <w:r w:rsidR="00BD7D83" w:rsidRPr="00000F0F">
        <w:rPr>
          <w:color w:val="000000"/>
          <w:lang w:val="en-US"/>
        </w:rPr>
        <w:t xml:space="preserve"> </w:t>
      </w:r>
      <w:r w:rsidRPr="00000F0F">
        <w:t xml:space="preserve"> </w:t>
      </w:r>
      <w:proofErr w:type="spellStart"/>
      <w:r w:rsidR="00BD7D83" w:rsidRPr="00000F0F">
        <w:rPr>
          <w:color w:val="0D0D0D"/>
          <w:lang w:val="en-US"/>
        </w:rPr>
        <w:t>është</w:t>
      </w:r>
      <w:proofErr w:type="spellEnd"/>
      <w:proofErr w:type="gramEnd"/>
      <w:r w:rsidR="00BD7D83" w:rsidRPr="00000F0F">
        <w:rPr>
          <w:color w:val="0D0D0D"/>
          <w:lang w:val="en-US"/>
        </w:rPr>
        <w:t xml:space="preserve"> </w:t>
      </w:r>
      <w:proofErr w:type="spellStart"/>
      <w:r w:rsidR="00BD7D83" w:rsidRPr="00000F0F">
        <w:rPr>
          <w:color w:val="0D0D0D"/>
          <w:lang w:val="en-US"/>
        </w:rPr>
        <w:t>në</w:t>
      </w:r>
      <w:proofErr w:type="spellEnd"/>
      <w:r w:rsidR="00BD7D83" w:rsidRPr="00000F0F">
        <w:rPr>
          <w:color w:val="0D0D0D"/>
          <w:lang w:val="en-US"/>
        </w:rPr>
        <w:t xml:space="preserve"> </w:t>
      </w:r>
      <w:proofErr w:type="spellStart"/>
      <w:r w:rsidR="00BD7D83" w:rsidRPr="00000F0F">
        <w:rPr>
          <w:color w:val="0D0D0D"/>
          <w:lang w:val="en-US"/>
        </w:rPr>
        <w:t>vlerën</w:t>
      </w:r>
      <w:proofErr w:type="spellEnd"/>
      <w:r w:rsidR="00BD7D83" w:rsidRPr="00000F0F">
        <w:rPr>
          <w:color w:val="0D0D0D"/>
          <w:lang w:val="en-US"/>
        </w:rPr>
        <w:t xml:space="preserve"> </w:t>
      </w:r>
      <w:r w:rsidR="00BD7D83" w:rsidRPr="00000F0F">
        <w:rPr>
          <w:b/>
          <w:bCs/>
          <w:color w:val="000000"/>
        </w:rPr>
        <w:t>78.282</w:t>
      </w:r>
      <w:r w:rsidR="00BD7D83" w:rsidRPr="00000F0F">
        <w:rPr>
          <w:color w:val="0D0D0D"/>
          <w:lang w:val="en-US"/>
        </w:rPr>
        <w:t xml:space="preserve"> (</w:t>
      </w:r>
      <w:proofErr w:type="spellStart"/>
      <w:r w:rsidR="00BD7D83" w:rsidRPr="00000F0F">
        <w:rPr>
          <w:color w:val="0D0D0D"/>
          <w:lang w:val="en-US"/>
        </w:rPr>
        <w:t>mijë</w:t>
      </w:r>
      <w:proofErr w:type="spellEnd"/>
      <w:r w:rsidR="00BD7D83" w:rsidRPr="00000F0F">
        <w:rPr>
          <w:color w:val="0D0D0D"/>
          <w:lang w:val="en-US"/>
        </w:rPr>
        <w:t xml:space="preserve"> </w:t>
      </w:r>
      <w:proofErr w:type="spellStart"/>
      <w:r w:rsidR="00BD7D83" w:rsidRPr="00000F0F">
        <w:rPr>
          <w:color w:val="0D0D0D"/>
          <w:lang w:val="en-US"/>
        </w:rPr>
        <w:t>lekë</w:t>
      </w:r>
      <w:proofErr w:type="spellEnd"/>
      <w:r w:rsidR="00BD7D83" w:rsidRPr="00000F0F">
        <w:rPr>
          <w:color w:val="0D0D0D"/>
          <w:lang w:val="en-US"/>
        </w:rPr>
        <w:t xml:space="preserve">) </w:t>
      </w:r>
      <w:proofErr w:type="spellStart"/>
      <w:r w:rsidR="00BD7D83" w:rsidRPr="00000F0F">
        <w:rPr>
          <w:color w:val="0D0D0D"/>
          <w:lang w:val="en-US"/>
        </w:rPr>
        <w:t>ose</w:t>
      </w:r>
      <w:proofErr w:type="spellEnd"/>
      <w:r w:rsidR="00BD7D83" w:rsidRPr="00000F0F">
        <w:rPr>
          <w:color w:val="0D0D0D"/>
          <w:lang w:val="en-US"/>
        </w:rPr>
        <w:t xml:space="preserve"> </w:t>
      </w:r>
      <w:proofErr w:type="spellStart"/>
      <w:r w:rsidR="00BD7D83" w:rsidRPr="00000F0F">
        <w:rPr>
          <w:color w:val="0D0D0D"/>
          <w:lang w:val="en-US"/>
        </w:rPr>
        <w:t>në</w:t>
      </w:r>
      <w:proofErr w:type="spellEnd"/>
      <w:r w:rsidR="00BD7D83" w:rsidRPr="00000F0F">
        <w:rPr>
          <w:color w:val="0D0D0D"/>
          <w:lang w:val="en-US"/>
        </w:rPr>
        <w:t xml:space="preserve"> </w:t>
      </w:r>
      <w:proofErr w:type="spellStart"/>
      <w:r w:rsidR="00BD7D83" w:rsidRPr="00000F0F">
        <w:rPr>
          <w:color w:val="0D0D0D"/>
          <w:lang w:val="en-US"/>
        </w:rPr>
        <w:t>nivelin</w:t>
      </w:r>
      <w:proofErr w:type="spellEnd"/>
      <w:r w:rsidR="00BD7D83" w:rsidRPr="00000F0F">
        <w:rPr>
          <w:color w:val="0D0D0D"/>
          <w:lang w:val="en-US"/>
        </w:rPr>
        <w:t xml:space="preserve"> </w:t>
      </w:r>
      <w:r w:rsidR="00BD7D83" w:rsidRPr="00000F0F">
        <w:rPr>
          <w:b/>
          <w:color w:val="0D0D0D"/>
          <w:lang w:val="en-US"/>
        </w:rPr>
        <w:t>98.7%.</w:t>
      </w:r>
    </w:p>
    <w:p w:rsidR="00CC728C" w:rsidRPr="00000F0F" w:rsidRDefault="00BD7D83" w:rsidP="00000F0F">
      <w:pPr>
        <w:spacing w:line="276" w:lineRule="auto"/>
        <w:jc w:val="both"/>
        <w:rPr>
          <w:color w:val="0D0D0D"/>
          <w:lang w:val="en-US"/>
        </w:rPr>
      </w:pPr>
      <w:r w:rsidRPr="00000F0F">
        <w:rPr>
          <w:color w:val="0D0D0D"/>
          <w:lang w:val="en-US"/>
        </w:rPr>
        <w:t xml:space="preserve"> </w:t>
      </w:r>
      <w:r w:rsidR="00BB4A9D" w:rsidRPr="00000F0F">
        <w:rPr>
          <w:color w:val="0D0D0D"/>
          <w:lang w:val="en-US"/>
        </w:rPr>
        <w:t xml:space="preserve"> </w:t>
      </w:r>
      <w:r w:rsidRPr="00000F0F">
        <w:rPr>
          <w:color w:val="0D0D0D"/>
          <w:lang w:val="en-US"/>
        </w:rPr>
        <w:t xml:space="preserve"> </w:t>
      </w:r>
      <w:r w:rsidR="00BB4A9D" w:rsidRPr="00000F0F">
        <w:rPr>
          <w:color w:val="0D0D0D"/>
          <w:lang w:val="en-US"/>
        </w:rPr>
        <w:t xml:space="preserve"> </w:t>
      </w:r>
      <w:r w:rsidRPr="00000F0F">
        <w:rPr>
          <w:color w:val="0D0D0D"/>
          <w:lang w:val="en-US"/>
        </w:rPr>
        <w:t xml:space="preserve"> </w:t>
      </w:r>
      <w:r w:rsidR="00BB4A9D" w:rsidRPr="00000F0F">
        <w:rPr>
          <w:color w:val="000000"/>
          <w:lang w:val="en-US"/>
        </w:rPr>
        <w:t xml:space="preserve"> </w:t>
      </w:r>
      <w:r w:rsidRPr="00000F0F">
        <w:rPr>
          <w:color w:val="0D0D0D"/>
          <w:lang w:val="en-US"/>
        </w:rPr>
        <w:t xml:space="preserve"> </w:t>
      </w:r>
    </w:p>
    <w:tbl>
      <w:tblPr>
        <w:tblpPr w:leftFromText="180" w:rightFromText="180" w:vertAnchor="text" w:horzAnchor="margin" w:tblpY="98"/>
        <w:tblW w:w="8995" w:type="dxa"/>
        <w:tblLayout w:type="fixed"/>
        <w:tblCellMar>
          <w:left w:w="30" w:type="dxa"/>
          <w:right w:w="30" w:type="dxa"/>
        </w:tblCellMar>
        <w:tblLook w:val="0000" w:firstRow="0" w:lastRow="0" w:firstColumn="0" w:lastColumn="0" w:noHBand="0" w:noVBand="0"/>
      </w:tblPr>
      <w:tblGrid>
        <w:gridCol w:w="1448"/>
        <w:gridCol w:w="3827"/>
        <w:gridCol w:w="30"/>
        <w:gridCol w:w="3690"/>
      </w:tblGrid>
      <w:tr w:rsidR="00CC728C" w:rsidRPr="00000F0F" w:rsidTr="00BB4A9D">
        <w:trPr>
          <w:trHeight w:val="756"/>
        </w:trPr>
        <w:tc>
          <w:tcPr>
            <w:tcW w:w="1448" w:type="dxa"/>
            <w:tcBorders>
              <w:top w:val="single" w:sz="4" w:space="0" w:color="auto"/>
              <w:left w:val="single" w:sz="4" w:space="0" w:color="auto"/>
              <w:bottom w:val="single" w:sz="6" w:space="0" w:color="auto"/>
              <w:right w:val="single" w:sz="6" w:space="0" w:color="auto"/>
            </w:tcBorders>
            <w:shd w:val="solid" w:color="969696" w:fill="auto"/>
          </w:tcPr>
          <w:p w:rsidR="00CC728C" w:rsidRPr="00000F0F" w:rsidRDefault="00CC728C" w:rsidP="00000F0F">
            <w:pPr>
              <w:autoSpaceDE w:val="0"/>
              <w:autoSpaceDN w:val="0"/>
              <w:adjustRightInd w:val="0"/>
              <w:spacing w:line="276" w:lineRule="auto"/>
              <w:jc w:val="center"/>
              <w:rPr>
                <w:b/>
                <w:bCs/>
                <w:color w:val="000000"/>
              </w:rPr>
            </w:pPr>
          </w:p>
          <w:p w:rsidR="00CC728C" w:rsidRPr="00000F0F" w:rsidRDefault="00CC728C" w:rsidP="00000F0F">
            <w:pPr>
              <w:autoSpaceDE w:val="0"/>
              <w:autoSpaceDN w:val="0"/>
              <w:adjustRightInd w:val="0"/>
              <w:spacing w:line="276" w:lineRule="auto"/>
              <w:jc w:val="center"/>
              <w:rPr>
                <w:b/>
                <w:bCs/>
                <w:color w:val="000000"/>
              </w:rPr>
            </w:pPr>
            <w:r w:rsidRPr="00000F0F">
              <w:rPr>
                <w:b/>
                <w:bCs/>
                <w:color w:val="000000"/>
              </w:rPr>
              <w:t>Llog.</w:t>
            </w:r>
          </w:p>
          <w:p w:rsidR="00CC728C" w:rsidRPr="00000F0F" w:rsidRDefault="00CC728C" w:rsidP="00000F0F">
            <w:pPr>
              <w:autoSpaceDE w:val="0"/>
              <w:autoSpaceDN w:val="0"/>
              <w:adjustRightInd w:val="0"/>
              <w:spacing w:line="276" w:lineRule="auto"/>
              <w:rPr>
                <w:b/>
                <w:bCs/>
                <w:color w:val="000000"/>
              </w:rPr>
            </w:pPr>
            <w:r w:rsidRPr="00000F0F">
              <w:rPr>
                <w:b/>
                <w:bCs/>
                <w:color w:val="000000"/>
              </w:rPr>
              <w:t>Ekonomike</w:t>
            </w:r>
          </w:p>
        </w:tc>
        <w:tc>
          <w:tcPr>
            <w:tcW w:w="3827" w:type="dxa"/>
            <w:tcBorders>
              <w:top w:val="single" w:sz="4" w:space="0" w:color="auto"/>
              <w:left w:val="single" w:sz="6" w:space="0" w:color="auto"/>
              <w:bottom w:val="single" w:sz="6" w:space="0" w:color="auto"/>
              <w:right w:val="single" w:sz="6" w:space="0" w:color="auto"/>
            </w:tcBorders>
            <w:shd w:val="solid" w:color="969696" w:fill="auto"/>
            <w:vAlign w:val="center"/>
          </w:tcPr>
          <w:p w:rsidR="00CC728C" w:rsidRPr="00000F0F" w:rsidRDefault="00CC728C" w:rsidP="00000F0F">
            <w:pPr>
              <w:autoSpaceDE w:val="0"/>
              <w:autoSpaceDN w:val="0"/>
              <w:adjustRightInd w:val="0"/>
              <w:spacing w:line="276" w:lineRule="auto"/>
              <w:jc w:val="center"/>
              <w:rPr>
                <w:b/>
                <w:bCs/>
                <w:color w:val="000000"/>
              </w:rPr>
            </w:pPr>
            <w:r w:rsidRPr="00000F0F">
              <w:rPr>
                <w:b/>
                <w:bCs/>
                <w:color w:val="000000"/>
              </w:rPr>
              <w:t>Përshkrimi</w:t>
            </w:r>
          </w:p>
        </w:tc>
        <w:tc>
          <w:tcPr>
            <w:tcW w:w="3720" w:type="dxa"/>
            <w:gridSpan w:val="2"/>
            <w:tcBorders>
              <w:top w:val="single" w:sz="4" w:space="0" w:color="auto"/>
              <w:left w:val="single" w:sz="6" w:space="0" w:color="auto"/>
              <w:bottom w:val="single" w:sz="6" w:space="0" w:color="auto"/>
              <w:right w:val="single" w:sz="6" w:space="0" w:color="auto"/>
            </w:tcBorders>
            <w:shd w:val="solid" w:color="969696" w:fill="auto"/>
          </w:tcPr>
          <w:p w:rsidR="00CC728C" w:rsidRPr="00000F0F" w:rsidRDefault="00E7408C" w:rsidP="00000F0F">
            <w:pPr>
              <w:autoSpaceDE w:val="0"/>
              <w:autoSpaceDN w:val="0"/>
              <w:adjustRightInd w:val="0"/>
              <w:spacing w:line="276" w:lineRule="auto"/>
              <w:jc w:val="center"/>
              <w:rPr>
                <w:b/>
                <w:bCs/>
                <w:color w:val="000000"/>
              </w:rPr>
            </w:pPr>
            <w:r w:rsidRPr="00000F0F">
              <w:rPr>
                <w:b/>
                <w:bCs/>
                <w:color w:val="000000"/>
              </w:rPr>
              <w:t xml:space="preserve">Plani </w:t>
            </w:r>
            <w:r w:rsidR="00CC728C" w:rsidRPr="00000F0F">
              <w:rPr>
                <w:b/>
                <w:bCs/>
                <w:color w:val="000000"/>
              </w:rPr>
              <w:t>fillestar i buxhetit viti 2021</w:t>
            </w:r>
          </w:p>
          <w:p w:rsidR="00CC728C" w:rsidRPr="00000F0F" w:rsidRDefault="00CC728C" w:rsidP="00000F0F">
            <w:pPr>
              <w:autoSpaceDE w:val="0"/>
              <w:autoSpaceDN w:val="0"/>
              <w:adjustRightInd w:val="0"/>
              <w:spacing w:line="276" w:lineRule="auto"/>
              <w:jc w:val="center"/>
              <w:rPr>
                <w:b/>
                <w:bCs/>
                <w:color w:val="000000"/>
              </w:rPr>
            </w:pPr>
            <w:r w:rsidRPr="00000F0F">
              <w:rPr>
                <w:b/>
                <w:bCs/>
                <w:color w:val="000000"/>
              </w:rPr>
              <w:t>(në mijë lekë)</w:t>
            </w:r>
          </w:p>
          <w:p w:rsidR="00CC728C" w:rsidRPr="00000F0F" w:rsidRDefault="00CC728C" w:rsidP="00000F0F">
            <w:pPr>
              <w:autoSpaceDE w:val="0"/>
              <w:autoSpaceDN w:val="0"/>
              <w:adjustRightInd w:val="0"/>
              <w:spacing w:line="276" w:lineRule="auto"/>
              <w:jc w:val="center"/>
              <w:rPr>
                <w:b/>
                <w:bCs/>
                <w:color w:val="000000"/>
                <w:lang w:val="it-IT"/>
              </w:rPr>
            </w:pPr>
            <w:r w:rsidRPr="00000F0F">
              <w:rPr>
                <w:b/>
                <w:bCs/>
                <w:color w:val="000000"/>
              </w:rPr>
              <w:t xml:space="preserve">I ndryshuar </w:t>
            </w:r>
          </w:p>
        </w:tc>
      </w:tr>
      <w:tr w:rsidR="00CC728C" w:rsidRPr="00000F0F" w:rsidTr="00BB4A9D">
        <w:trPr>
          <w:trHeight w:val="262"/>
        </w:trPr>
        <w:tc>
          <w:tcPr>
            <w:tcW w:w="1448" w:type="dxa"/>
            <w:tcBorders>
              <w:top w:val="single" w:sz="6" w:space="0" w:color="auto"/>
              <w:left w:val="single" w:sz="4" w:space="0" w:color="auto"/>
              <w:bottom w:val="single" w:sz="6" w:space="0" w:color="auto"/>
              <w:right w:val="single" w:sz="6" w:space="0" w:color="auto"/>
            </w:tcBorders>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600</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rPr>
                <w:bCs/>
                <w:color w:val="000000"/>
              </w:rPr>
            </w:pPr>
            <w:r w:rsidRPr="00000F0F">
              <w:rPr>
                <w:bCs/>
                <w:color w:val="000000"/>
              </w:rPr>
              <w:t>Fond Page</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4</w:t>
            </w:r>
            <w:r w:rsidR="00BB4A9D" w:rsidRPr="00000F0F">
              <w:rPr>
                <w:bCs/>
                <w:color w:val="000000"/>
              </w:rPr>
              <w:t>7</w:t>
            </w:r>
            <w:r w:rsidRPr="00000F0F">
              <w:rPr>
                <w:bCs/>
                <w:color w:val="000000"/>
              </w:rPr>
              <w:t>.402</w:t>
            </w:r>
          </w:p>
        </w:tc>
      </w:tr>
      <w:tr w:rsidR="00CC728C" w:rsidRPr="00000F0F" w:rsidTr="00BB4A9D">
        <w:trPr>
          <w:trHeight w:val="219"/>
        </w:trPr>
        <w:tc>
          <w:tcPr>
            <w:tcW w:w="1448" w:type="dxa"/>
            <w:tcBorders>
              <w:top w:val="single" w:sz="6" w:space="0" w:color="auto"/>
              <w:left w:val="single" w:sz="4" w:space="0" w:color="auto"/>
              <w:bottom w:val="single" w:sz="6" w:space="0" w:color="auto"/>
              <w:right w:val="single" w:sz="6" w:space="0" w:color="auto"/>
            </w:tcBorders>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601</w:t>
            </w:r>
          </w:p>
        </w:tc>
        <w:tc>
          <w:tcPr>
            <w:tcW w:w="3857"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rPr>
                <w:bCs/>
                <w:color w:val="000000"/>
              </w:rPr>
            </w:pPr>
            <w:r w:rsidRPr="00000F0F">
              <w:rPr>
                <w:bCs/>
                <w:color w:val="000000"/>
              </w:rPr>
              <w:t>Kontrib. Sig. Shoq&amp; Shënd.</w:t>
            </w:r>
          </w:p>
        </w:tc>
        <w:tc>
          <w:tcPr>
            <w:tcW w:w="3690" w:type="dxa"/>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8.092</w:t>
            </w:r>
          </w:p>
        </w:tc>
      </w:tr>
      <w:tr w:rsidR="00CC728C" w:rsidRPr="00000F0F" w:rsidTr="00BB4A9D">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602</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rPr>
                <w:bCs/>
                <w:color w:val="000000"/>
              </w:rPr>
            </w:pPr>
            <w:r w:rsidRPr="00000F0F">
              <w:rPr>
                <w:bCs/>
                <w:color w:val="000000"/>
              </w:rPr>
              <w:t>Mallra dhe shërbime të tjera</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1</w:t>
            </w:r>
            <w:r w:rsidR="0058292B" w:rsidRPr="00000F0F">
              <w:rPr>
                <w:bCs/>
                <w:color w:val="000000"/>
              </w:rPr>
              <w:t>8</w:t>
            </w:r>
            <w:r w:rsidRPr="00000F0F">
              <w:rPr>
                <w:bCs/>
                <w:color w:val="000000"/>
              </w:rPr>
              <w:t>.128</w:t>
            </w:r>
          </w:p>
        </w:tc>
      </w:tr>
      <w:tr w:rsidR="00CC728C" w:rsidRPr="00000F0F" w:rsidTr="00BB4A9D">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605</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rPr>
                <w:bCs/>
                <w:color w:val="000000"/>
              </w:rPr>
            </w:pPr>
            <w:r w:rsidRPr="00000F0F">
              <w:rPr>
                <w:bCs/>
                <w:color w:val="000000"/>
              </w:rPr>
              <w:t>Transferta korente jashtë vendit</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jc w:val="center"/>
              <w:rPr>
                <w:bCs/>
              </w:rPr>
            </w:pPr>
            <w:r w:rsidRPr="00000F0F">
              <w:rPr>
                <w:bCs/>
                <w:color w:val="000000"/>
              </w:rPr>
              <w:t xml:space="preserve">     100 </w:t>
            </w:r>
          </w:p>
        </w:tc>
      </w:tr>
      <w:tr w:rsidR="00CC728C" w:rsidRPr="00000F0F" w:rsidTr="00BB4A9D">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606</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rPr>
                <w:bCs/>
                <w:color w:val="000000"/>
              </w:rPr>
            </w:pPr>
            <w:r w:rsidRPr="00000F0F">
              <w:rPr>
                <w:bCs/>
                <w:color w:val="000000"/>
              </w:rPr>
              <w:t>Transf. për Buxh. Fam. &amp; Individ</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 xml:space="preserve">     240 </w:t>
            </w:r>
          </w:p>
        </w:tc>
      </w:tr>
      <w:tr w:rsidR="00CC728C" w:rsidRPr="00000F0F" w:rsidTr="00BB4A9D">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000F0F" w:rsidRDefault="00CC728C" w:rsidP="00000F0F">
            <w:pPr>
              <w:autoSpaceDE w:val="0"/>
              <w:autoSpaceDN w:val="0"/>
              <w:adjustRightInd w:val="0"/>
              <w:spacing w:line="276" w:lineRule="auto"/>
              <w:jc w:val="center"/>
              <w:rPr>
                <w:b/>
                <w:bCs/>
                <w:color w:val="000000"/>
              </w:rPr>
            </w:pPr>
            <w:r w:rsidRPr="00000F0F">
              <w:rPr>
                <w:b/>
                <w:bCs/>
                <w:color w:val="000000"/>
              </w:rPr>
              <w:t>230-231</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rPr>
                <w:b/>
                <w:bCs/>
                <w:color w:val="000000"/>
              </w:rPr>
            </w:pPr>
            <w:r w:rsidRPr="00000F0F">
              <w:rPr>
                <w:b/>
                <w:bCs/>
                <w:color w:val="000000"/>
              </w:rPr>
              <w:t>Shpenzime kapitale</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BB4A9D" w:rsidP="00000F0F">
            <w:pPr>
              <w:autoSpaceDE w:val="0"/>
              <w:autoSpaceDN w:val="0"/>
              <w:adjustRightInd w:val="0"/>
              <w:spacing w:line="276" w:lineRule="auto"/>
              <w:jc w:val="center"/>
              <w:rPr>
                <w:b/>
                <w:bCs/>
                <w:color w:val="000000"/>
              </w:rPr>
            </w:pPr>
            <w:r w:rsidRPr="00000F0F">
              <w:rPr>
                <w:b/>
                <w:bCs/>
                <w:color w:val="000000"/>
              </w:rPr>
              <w:t>4</w:t>
            </w:r>
            <w:r w:rsidR="00CC728C" w:rsidRPr="00000F0F">
              <w:rPr>
                <w:b/>
                <w:bCs/>
                <w:color w:val="000000"/>
              </w:rPr>
              <w:t xml:space="preserve">.500 </w:t>
            </w:r>
          </w:p>
        </w:tc>
      </w:tr>
      <w:tr w:rsidR="00CC728C" w:rsidRPr="00000F0F" w:rsidTr="00BB4A9D">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000F0F" w:rsidRDefault="00CC728C" w:rsidP="00000F0F">
            <w:pPr>
              <w:pStyle w:val="ListParagraph"/>
              <w:autoSpaceDE w:val="0"/>
              <w:autoSpaceDN w:val="0"/>
              <w:adjustRightInd w:val="0"/>
              <w:ind w:left="765"/>
              <w:rPr>
                <w:rFonts w:ascii="Times New Roman" w:hAnsi="Times New Roman"/>
                <w:bCs/>
                <w:color w:val="000000"/>
                <w:sz w:val="24"/>
                <w:szCs w:val="24"/>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rPr>
                <w:bCs/>
                <w:color w:val="000000"/>
              </w:rPr>
            </w:pPr>
            <w:r w:rsidRPr="00000F0F">
              <w:rPr>
                <w:bCs/>
                <w:color w:val="000000"/>
              </w:rPr>
              <w:t xml:space="preserve">Paisje zyre, elektronike/kompjuterike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BB4A9D" w:rsidP="00000F0F">
            <w:pPr>
              <w:autoSpaceDE w:val="0"/>
              <w:autoSpaceDN w:val="0"/>
              <w:adjustRightInd w:val="0"/>
              <w:spacing w:line="276" w:lineRule="auto"/>
              <w:jc w:val="center"/>
              <w:rPr>
                <w:bCs/>
                <w:color w:val="000000"/>
              </w:rPr>
            </w:pPr>
            <w:r w:rsidRPr="00000F0F">
              <w:rPr>
                <w:bCs/>
                <w:color w:val="000000"/>
              </w:rPr>
              <w:t>4</w:t>
            </w:r>
            <w:r w:rsidR="00CC728C" w:rsidRPr="00000F0F">
              <w:rPr>
                <w:bCs/>
                <w:color w:val="000000"/>
              </w:rPr>
              <w:t>.</w:t>
            </w:r>
            <w:r w:rsidRPr="00000F0F">
              <w:rPr>
                <w:bCs/>
                <w:color w:val="000000"/>
              </w:rPr>
              <w:t>5</w:t>
            </w:r>
            <w:r w:rsidR="00CC728C" w:rsidRPr="00000F0F">
              <w:rPr>
                <w:bCs/>
                <w:color w:val="000000"/>
              </w:rPr>
              <w:t>00</w:t>
            </w:r>
          </w:p>
        </w:tc>
      </w:tr>
      <w:tr w:rsidR="00BB4A9D" w:rsidRPr="00000F0F" w:rsidTr="00BB4A9D">
        <w:trPr>
          <w:trHeight w:val="276"/>
        </w:trPr>
        <w:tc>
          <w:tcPr>
            <w:tcW w:w="1448" w:type="dxa"/>
            <w:tcBorders>
              <w:top w:val="single" w:sz="6" w:space="0" w:color="auto"/>
              <w:left w:val="single" w:sz="4" w:space="0" w:color="auto"/>
              <w:bottom w:val="single" w:sz="6" w:space="0" w:color="auto"/>
              <w:right w:val="single" w:sz="6" w:space="0" w:color="auto"/>
            </w:tcBorders>
          </w:tcPr>
          <w:p w:rsidR="00BB4A9D" w:rsidRPr="00000F0F" w:rsidRDefault="00BB4A9D" w:rsidP="00000F0F">
            <w:pPr>
              <w:autoSpaceDE w:val="0"/>
              <w:autoSpaceDN w:val="0"/>
              <w:adjustRightInd w:val="0"/>
              <w:spacing w:line="276" w:lineRule="auto"/>
              <w:jc w:val="center"/>
              <w:rPr>
                <w:bCs/>
                <w:color w:val="000000"/>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BB4A9D" w:rsidRPr="00000F0F" w:rsidRDefault="00BB4A9D" w:rsidP="00000F0F">
            <w:pPr>
              <w:autoSpaceDE w:val="0"/>
              <w:autoSpaceDN w:val="0"/>
              <w:adjustRightInd w:val="0"/>
              <w:spacing w:line="276" w:lineRule="auto"/>
              <w:rPr>
                <w:bCs/>
                <w:color w:val="000000"/>
              </w:rPr>
            </w:pP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BB4A9D" w:rsidRPr="00000F0F" w:rsidRDefault="00BB4A9D" w:rsidP="00000F0F">
            <w:pPr>
              <w:autoSpaceDE w:val="0"/>
              <w:autoSpaceDN w:val="0"/>
              <w:adjustRightInd w:val="0"/>
              <w:spacing w:line="276" w:lineRule="auto"/>
              <w:jc w:val="center"/>
              <w:rPr>
                <w:bCs/>
                <w:color w:val="000000"/>
              </w:rPr>
            </w:pPr>
            <w:r w:rsidRPr="00000F0F">
              <w:rPr>
                <w:bCs/>
                <w:color w:val="000000"/>
              </w:rPr>
              <w:t>78.462</w:t>
            </w:r>
          </w:p>
        </w:tc>
      </w:tr>
      <w:tr w:rsidR="00CC728C" w:rsidRPr="00000F0F" w:rsidTr="00BB4A9D">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000F0F" w:rsidRDefault="00CC728C" w:rsidP="00000F0F">
            <w:pPr>
              <w:autoSpaceDE w:val="0"/>
              <w:autoSpaceDN w:val="0"/>
              <w:adjustRightInd w:val="0"/>
              <w:spacing w:line="276" w:lineRule="auto"/>
              <w:jc w:val="center"/>
              <w:rPr>
                <w:bCs/>
                <w:color w:val="000000"/>
              </w:rPr>
            </w:pPr>
            <w:r w:rsidRPr="00000F0F">
              <w:rPr>
                <w:bCs/>
                <w:color w:val="000000"/>
              </w:rPr>
              <w:t>606</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CC728C" w:rsidP="00000F0F">
            <w:pPr>
              <w:autoSpaceDE w:val="0"/>
              <w:autoSpaceDN w:val="0"/>
              <w:adjustRightInd w:val="0"/>
              <w:spacing w:line="276" w:lineRule="auto"/>
              <w:rPr>
                <w:bCs/>
                <w:color w:val="000000"/>
              </w:rPr>
            </w:pPr>
            <w:r w:rsidRPr="00000F0F">
              <w:rPr>
                <w:bCs/>
                <w:color w:val="000000"/>
              </w:rPr>
              <w:t xml:space="preserve">Fondi i vecantë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000F0F" w:rsidRDefault="00BB4A9D" w:rsidP="00000F0F">
            <w:pPr>
              <w:autoSpaceDE w:val="0"/>
              <w:autoSpaceDN w:val="0"/>
              <w:adjustRightInd w:val="0"/>
              <w:spacing w:line="276" w:lineRule="auto"/>
              <w:jc w:val="center"/>
              <w:rPr>
                <w:bCs/>
                <w:color w:val="000000"/>
              </w:rPr>
            </w:pPr>
            <w:r w:rsidRPr="00000F0F">
              <w:rPr>
                <w:bCs/>
                <w:color w:val="000000"/>
              </w:rPr>
              <w:t>790</w:t>
            </w:r>
          </w:p>
        </w:tc>
      </w:tr>
      <w:tr w:rsidR="00CC728C" w:rsidRPr="00000F0F" w:rsidTr="00BB4A9D">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CC728C" w:rsidRPr="00000F0F" w:rsidRDefault="00CC728C" w:rsidP="00000F0F">
            <w:pPr>
              <w:autoSpaceDE w:val="0"/>
              <w:autoSpaceDN w:val="0"/>
              <w:adjustRightInd w:val="0"/>
              <w:spacing w:line="276" w:lineRule="auto"/>
              <w:jc w:val="right"/>
              <w:rPr>
                <w:color w:val="000000"/>
                <w:highlight w:val="black"/>
              </w:rPr>
            </w:pPr>
          </w:p>
        </w:tc>
        <w:tc>
          <w:tcPr>
            <w:tcW w:w="3827" w:type="dxa"/>
            <w:tcBorders>
              <w:top w:val="single" w:sz="4" w:space="0" w:color="auto"/>
              <w:left w:val="single" w:sz="4" w:space="0" w:color="auto"/>
              <w:bottom w:val="single" w:sz="4" w:space="0" w:color="auto"/>
              <w:right w:val="single" w:sz="4" w:space="0" w:color="auto"/>
            </w:tcBorders>
            <w:shd w:val="solid" w:color="969696" w:fill="auto"/>
            <w:vAlign w:val="center"/>
          </w:tcPr>
          <w:p w:rsidR="00CC728C" w:rsidRPr="00000F0F" w:rsidRDefault="00CC728C" w:rsidP="00000F0F">
            <w:pPr>
              <w:autoSpaceDE w:val="0"/>
              <w:autoSpaceDN w:val="0"/>
              <w:adjustRightInd w:val="0"/>
              <w:spacing w:line="276" w:lineRule="auto"/>
              <w:jc w:val="center"/>
              <w:rPr>
                <w:b/>
                <w:bCs/>
                <w:color w:val="000000"/>
              </w:rPr>
            </w:pPr>
            <w:r w:rsidRPr="00000F0F">
              <w:rPr>
                <w:b/>
                <w:bCs/>
                <w:color w:val="000000"/>
              </w:rPr>
              <w:t>T o t a l i</w:t>
            </w:r>
          </w:p>
        </w:tc>
        <w:tc>
          <w:tcPr>
            <w:tcW w:w="3720" w:type="dxa"/>
            <w:gridSpan w:val="2"/>
            <w:tcBorders>
              <w:top w:val="single" w:sz="4" w:space="0" w:color="auto"/>
              <w:left w:val="single" w:sz="4" w:space="0" w:color="auto"/>
              <w:bottom w:val="single" w:sz="4" w:space="0" w:color="auto"/>
              <w:right w:val="single" w:sz="4" w:space="0" w:color="auto"/>
            </w:tcBorders>
            <w:shd w:val="solid" w:color="969696" w:fill="auto"/>
            <w:vAlign w:val="center"/>
          </w:tcPr>
          <w:p w:rsidR="00CC728C" w:rsidRPr="00000F0F" w:rsidRDefault="00BB4A9D" w:rsidP="00000F0F">
            <w:pPr>
              <w:spacing w:line="276" w:lineRule="auto"/>
              <w:jc w:val="center"/>
              <w:rPr>
                <w:b/>
                <w:bCs/>
              </w:rPr>
            </w:pPr>
            <w:r w:rsidRPr="00000F0F">
              <w:rPr>
                <w:b/>
                <w:bCs/>
              </w:rPr>
              <w:t>79.252</w:t>
            </w:r>
          </w:p>
        </w:tc>
      </w:tr>
      <w:tr w:rsidR="00CC728C" w:rsidRPr="00000F0F" w:rsidTr="00BB4A9D">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CC728C" w:rsidRPr="00000F0F" w:rsidRDefault="00CC728C" w:rsidP="00000F0F">
            <w:pPr>
              <w:autoSpaceDE w:val="0"/>
              <w:autoSpaceDN w:val="0"/>
              <w:adjustRightInd w:val="0"/>
              <w:spacing w:line="276" w:lineRule="auto"/>
              <w:jc w:val="right"/>
              <w:rPr>
                <w:color w:val="000000"/>
                <w:highlight w:val="black"/>
              </w:rPr>
            </w:pPr>
          </w:p>
        </w:tc>
        <w:tc>
          <w:tcPr>
            <w:tcW w:w="3827" w:type="dxa"/>
            <w:tcBorders>
              <w:top w:val="single" w:sz="4" w:space="0" w:color="auto"/>
              <w:left w:val="single" w:sz="4" w:space="0" w:color="auto"/>
              <w:bottom w:val="single" w:sz="4" w:space="0" w:color="auto"/>
              <w:right w:val="single" w:sz="4" w:space="0" w:color="auto"/>
            </w:tcBorders>
            <w:shd w:val="solid" w:color="969696" w:fill="auto"/>
            <w:vAlign w:val="center"/>
          </w:tcPr>
          <w:p w:rsidR="00CC728C" w:rsidRPr="00000F0F" w:rsidRDefault="00CC728C" w:rsidP="00000F0F">
            <w:pPr>
              <w:autoSpaceDE w:val="0"/>
              <w:autoSpaceDN w:val="0"/>
              <w:adjustRightInd w:val="0"/>
              <w:spacing w:line="276" w:lineRule="auto"/>
              <w:jc w:val="center"/>
              <w:rPr>
                <w:b/>
                <w:bCs/>
                <w:color w:val="000000"/>
              </w:rPr>
            </w:pPr>
          </w:p>
        </w:tc>
        <w:tc>
          <w:tcPr>
            <w:tcW w:w="3720" w:type="dxa"/>
            <w:gridSpan w:val="2"/>
            <w:tcBorders>
              <w:top w:val="single" w:sz="4" w:space="0" w:color="auto"/>
              <w:left w:val="single" w:sz="4" w:space="0" w:color="auto"/>
              <w:bottom w:val="single" w:sz="4" w:space="0" w:color="auto"/>
              <w:right w:val="single" w:sz="4" w:space="0" w:color="auto"/>
            </w:tcBorders>
            <w:shd w:val="solid" w:color="969696" w:fill="auto"/>
            <w:vAlign w:val="center"/>
          </w:tcPr>
          <w:p w:rsidR="00CC728C" w:rsidRPr="00000F0F" w:rsidRDefault="00CC728C" w:rsidP="00000F0F">
            <w:pPr>
              <w:spacing w:line="276" w:lineRule="auto"/>
              <w:rPr>
                <w:b/>
                <w:bCs/>
              </w:rPr>
            </w:pPr>
          </w:p>
        </w:tc>
      </w:tr>
    </w:tbl>
    <w:p w:rsidR="00CC728C" w:rsidRPr="00000F0F" w:rsidRDefault="00CC728C" w:rsidP="00000F0F">
      <w:pPr>
        <w:spacing w:line="276" w:lineRule="auto"/>
        <w:rPr>
          <w:color w:val="0D0D0D" w:themeColor="text1" w:themeTint="F2"/>
        </w:rPr>
      </w:pPr>
      <w:r w:rsidRPr="00000F0F">
        <w:rPr>
          <w:lang w:val="it-IT"/>
        </w:rPr>
        <w:tab/>
      </w:r>
    </w:p>
    <w:p w:rsidR="00715654" w:rsidRPr="00000F0F" w:rsidRDefault="00715654" w:rsidP="00000F0F">
      <w:pPr>
        <w:spacing w:line="276" w:lineRule="auto"/>
        <w:jc w:val="both"/>
        <w:rPr>
          <w:rFonts w:eastAsia="Batang"/>
          <w:iCs/>
          <w:color w:val="0D0D0D" w:themeColor="text1" w:themeTint="F2"/>
        </w:rPr>
      </w:pPr>
      <w:r w:rsidRPr="00000F0F">
        <w:rPr>
          <w:rFonts w:eastAsia="Batang"/>
          <w:iCs/>
          <w:color w:val="0D0D0D" w:themeColor="text1" w:themeTint="F2"/>
        </w:rPr>
        <w:t>Fondet buxhetore kanë pësuar ndryshime për shkak të Aktit Normativ nr.</w:t>
      </w:r>
      <w:r w:rsidR="00A82ABC" w:rsidRPr="00000F0F">
        <w:rPr>
          <w:rFonts w:eastAsia="Batang"/>
          <w:iCs/>
          <w:color w:val="0D0D0D" w:themeColor="text1" w:themeTint="F2"/>
        </w:rPr>
        <w:t xml:space="preserve"> 3, dat</w:t>
      </w:r>
      <w:r w:rsidR="00BD7D83" w:rsidRPr="00000F0F">
        <w:rPr>
          <w:rFonts w:eastAsia="Batang"/>
          <w:iCs/>
          <w:color w:val="0D0D0D" w:themeColor="text1" w:themeTint="F2"/>
        </w:rPr>
        <w:t>ë</w:t>
      </w:r>
      <w:r w:rsidR="00A82ABC" w:rsidRPr="00000F0F">
        <w:rPr>
          <w:rFonts w:eastAsia="Batang"/>
          <w:iCs/>
          <w:color w:val="0D0D0D" w:themeColor="text1" w:themeTint="F2"/>
        </w:rPr>
        <w:t xml:space="preserve"> 12.03.2022, Aktit Normativ nr</w:t>
      </w:r>
      <w:r w:rsidRPr="00000F0F">
        <w:rPr>
          <w:rFonts w:eastAsia="Batang"/>
          <w:iCs/>
          <w:color w:val="0D0D0D" w:themeColor="text1" w:themeTint="F2"/>
        </w:rPr>
        <w:t xml:space="preserve"> </w:t>
      </w:r>
      <w:r w:rsidR="00BD7D83" w:rsidRPr="00000F0F">
        <w:rPr>
          <w:rFonts w:eastAsia="Batang"/>
          <w:iCs/>
          <w:color w:val="0D0D0D" w:themeColor="text1" w:themeTint="F2"/>
        </w:rPr>
        <w:t xml:space="preserve">. </w:t>
      </w:r>
      <w:r w:rsidRPr="00000F0F">
        <w:rPr>
          <w:rFonts w:eastAsia="Batang"/>
          <w:iCs/>
          <w:color w:val="0D0D0D" w:themeColor="text1" w:themeTint="F2"/>
        </w:rPr>
        <w:t xml:space="preserve">12, datë 29.07.2022, </w:t>
      </w:r>
      <w:r w:rsidR="00A82ABC" w:rsidRPr="00000F0F">
        <w:rPr>
          <w:rFonts w:eastAsia="Batang"/>
          <w:iCs/>
          <w:color w:val="0D0D0D" w:themeColor="text1" w:themeTint="F2"/>
        </w:rPr>
        <w:t xml:space="preserve">si dhe </w:t>
      </w:r>
      <w:r w:rsidR="00BD7D83" w:rsidRPr="00000F0F">
        <w:rPr>
          <w:rFonts w:eastAsia="Batang"/>
          <w:iCs/>
          <w:color w:val="0D0D0D" w:themeColor="text1" w:themeTint="F2"/>
        </w:rPr>
        <w:t xml:space="preserve"> </w:t>
      </w:r>
      <w:r w:rsidR="00A82ABC" w:rsidRPr="00000F0F">
        <w:rPr>
          <w:rFonts w:eastAsia="Batang"/>
          <w:iCs/>
          <w:color w:val="0D0D0D" w:themeColor="text1" w:themeTint="F2"/>
        </w:rPr>
        <w:t xml:space="preserve"> Akti</w:t>
      </w:r>
      <w:r w:rsidR="00BD7D83" w:rsidRPr="00000F0F">
        <w:rPr>
          <w:rFonts w:eastAsia="Batang"/>
          <w:iCs/>
          <w:color w:val="0D0D0D" w:themeColor="text1" w:themeTint="F2"/>
        </w:rPr>
        <w:t xml:space="preserve">t </w:t>
      </w:r>
      <w:r w:rsidR="00A82ABC" w:rsidRPr="00000F0F">
        <w:rPr>
          <w:rFonts w:eastAsia="Batang"/>
          <w:iCs/>
          <w:color w:val="0D0D0D" w:themeColor="text1" w:themeTint="F2"/>
        </w:rPr>
        <w:t xml:space="preserve"> Normativ nr. 17, dat</w:t>
      </w:r>
      <w:r w:rsidR="00BD7D83" w:rsidRPr="00000F0F">
        <w:rPr>
          <w:rFonts w:eastAsia="Batang"/>
          <w:iCs/>
          <w:color w:val="0D0D0D" w:themeColor="text1" w:themeTint="F2"/>
        </w:rPr>
        <w:t>ë</w:t>
      </w:r>
      <w:r w:rsidR="00A82ABC" w:rsidRPr="00000F0F">
        <w:rPr>
          <w:rFonts w:eastAsia="Batang"/>
          <w:iCs/>
          <w:color w:val="0D0D0D" w:themeColor="text1" w:themeTint="F2"/>
        </w:rPr>
        <w:t xml:space="preserve"> 01.12.2022</w:t>
      </w:r>
      <w:r w:rsidR="00BD7D83" w:rsidRPr="00000F0F">
        <w:rPr>
          <w:rFonts w:eastAsia="Batang"/>
          <w:iCs/>
          <w:color w:val="0D0D0D" w:themeColor="text1" w:themeTint="F2"/>
        </w:rPr>
        <w:t xml:space="preserve"> e në mënyrë më të detajuar ndryshimet kanë konsistuar për sa e si më poshtë:  </w:t>
      </w:r>
      <w:r w:rsidR="00A82ABC" w:rsidRPr="00000F0F">
        <w:rPr>
          <w:rFonts w:eastAsia="Batang"/>
          <w:iCs/>
          <w:color w:val="0D0D0D" w:themeColor="text1" w:themeTint="F2"/>
        </w:rPr>
        <w:t xml:space="preserve"> </w:t>
      </w:r>
    </w:p>
    <w:p w:rsidR="009079DB" w:rsidRPr="00000F0F" w:rsidRDefault="009079DB" w:rsidP="00000F0F">
      <w:pPr>
        <w:spacing w:line="276" w:lineRule="auto"/>
        <w:jc w:val="both"/>
      </w:pPr>
    </w:p>
    <w:p w:rsidR="0058292B" w:rsidRPr="00000F0F" w:rsidRDefault="009079DB" w:rsidP="00000F0F">
      <w:pPr>
        <w:spacing w:line="276" w:lineRule="auto"/>
        <w:jc w:val="both"/>
      </w:pPr>
      <w:r w:rsidRPr="00000F0F">
        <w:t>- Me Aktit Normativ, nr. 3, datë 12.03.2022 “Për di</w:t>
      </w:r>
      <w:r w:rsidR="0058292B" w:rsidRPr="00000F0F">
        <w:t>sa ndryshime në Ligjin 115/2021</w:t>
      </w:r>
      <w:r w:rsidR="00BD7D83" w:rsidRPr="00000F0F">
        <w:t xml:space="preserve"> </w:t>
      </w:r>
    </w:p>
    <w:p w:rsidR="009079DB" w:rsidRPr="00000F0F" w:rsidRDefault="009079DB" w:rsidP="00000F0F">
      <w:pPr>
        <w:spacing w:line="276" w:lineRule="auto"/>
        <w:jc w:val="both"/>
        <w:rPr>
          <w:color w:val="FF0000"/>
        </w:rPr>
      </w:pPr>
      <w:r w:rsidRPr="00000F0F">
        <w:t>“ Për buxhetin e vitit 2022”,</w:t>
      </w:r>
      <w:r w:rsidR="00BD7D83" w:rsidRPr="00000F0F">
        <w:t xml:space="preserve"> </w:t>
      </w:r>
      <w:r w:rsidRPr="00000F0F">
        <w:t xml:space="preserve">buxheti i KDIMDP-së, është pakësuar në vlerën </w:t>
      </w:r>
      <w:r w:rsidR="00D17532" w:rsidRPr="00000F0F">
        <w:t xml:space="preserve">totale </w:t>
      </w:r>
      <w:r w:rsidR="00BD7D83" w:rsidRPr="00000F0F">
        <w:t>4.878</w:t>
      </w:r>
      <w:r w:rsidR="00D17532" w:rsidRPr="00000F0F">
        <w:t xml:space="preserve"> </w:t>
      </w:r>
      <w:r w:rsidR="00BD7D83" w:rsidRPr="00000F0F">
        <w:rPr>
          <w:color w:val="0D0D0D" w:themeColor="text1" w:themeTint="F2"/>
        </w:rPr>
        <w:t>(</w:t>
      </w:r>
      <w:r w:rsidR="00D17532" w:rsidRPr="00000F0F">
        <w:rPr>
          <w:color w:val="0D0D0D" w:themeColor="text1" w:themeTint="F2"/>
        </w:rPr>
        <w:t>n</w:t>
      </w:r>
      <w:r w:rsidR="00BD7D83" w:rsidRPr="00000F0F">
        <w:rPr>
          <w:color w:val="0D0D0D" w:themeColor="text1" w:themeTint="F2"/>
        </w:rPr>
        <w:t>ë</w:t>
      </w:r>
      <w:r w:rsidR="00D17532" w:rsidRPr="00000F0F">
        <w:rPr>
          <w:color w:val="0D0D0D" w:themeColor="text1" w:themeTint="F2"/>
        </w:rPr>
        <w:t xml:space="preserve"> mij</w:t>
      </w:r>
      <w:r w:rsidR="00BD7D83" w:rsidRPr="00000F0F">
        <w:rPr>
          <w:color w:val="0D0D0D" w:themeColor="text1" w:themeTint="F2"/>
        </w:rPr>
        <w:t>ë)</w:t>
      </w:r>
      <w:r w:rsidR="00D17532" w:rsidRPr="00000F0F">
        <w:rPr>
          <w:color w:val="0D0D0D" w:themeColor="text1" w:themeTint="F2"/>
        </w:rPr>
        <w:t xml:space="preserve"> </w:t>
      </w:r>
      <w:r w:rsidRPr="00000F0F">
        <w:rPr>
          <w:color w:val="0D0D0D" w:themeColor="text1" w:themeTint="F2"/>
        </w:rPr>
        <w:t xml:space="preserve"> </w:t>
      </w:r>
      <w:r w:rsidR="00BD7D83" w:rsidRPr="00000F0F">
        <w:rPr>
          <w:color w:val="0D0D0D" w:themeColor="text1" w:themeTint="F2"/>
        </w:rPr>
        <w:t xml:space="preserve">lekë </w:t>
      </w:r>
      <w:r w:rsidR="00D17532" w:rsidRPr="00000F0F">
        <w:rPr>
          <w:color w:val="0D0D0D" w:themeColor="text1" w:themeTint="F2"/>
        </w:rPr>
        <w:t xml:space="preserve">e konkretisht </w:t>
      </w:r>
      <w:r w:rsidRPr="00000F0F">
        <w:rPr>
          <w:color w:val="0D0D0D" w:themeColor="text1" w:themeTint="F2"/>
        </w:rPr>
        <w:t>në zërin “Paga dhe Sigurime”</w:t>
      </w:r>
      <w:r w:rsidR="00BD7D83" w:rsidRPr="00000F0F">
        <w:rPr>
          <w:color w:val="0D0D0D" w:themeColor="text1" w:themeTint="F2"/>
        </w:rPr>
        <w:t xml:space="preserve"> </w:t>
      </w:r>
      <w:r w:rsidR="00D17532" w:rsidRPr="00000F0F">
        <w:rPr>
          <w:color w:val="0D0D0D" w:themeColor="text1" w:themeTint="F2"/>
        </w:rPr>
        <w:t>n</w:t>
      </w:r>
      <w:r w:rsidR="00BD7D83" w:rsidRPr="00000F0F">
        <w:rPr>
          <w:color w:val="0D0D0D" w:themeColor="text1" w:themeTint="F2"/>
        </w:rPr>
        <w:t>ë</w:t>
      </w:r>
      <w:r w:rsidR="00D17532" w:rsidRPr="00000F0F">
        <w:rPr>
          <w:color w:val="0D0D0D" w:themeColor="text1" w:themeTint="F2"/>
        </w:rPr>
        <w:t xml:space="preserve"> vler</w:t>
      </w:r>
      <w:r w:rsidR="00BD7D83" w:rsidRPr="00000F0F">
        <w:rPr>
          <w:color w:val="0D0D0D" w:themeColor="text1" w:themeTint="F2"/>
        </w:rPr>
        <w:t>ë</w:t>
      </w:r>
      <w:r w:rsidR="00D17532" w:rsidRPr="00000F0F">
        <w:rPr>
          <w:color w:val="0D0D0D" w:themeColor="text1" w:themeTint="F2"/>
        </w:rPr>
        <w:t xml:space="preserve">n </w:t>
      </w:r>
      <w:r w:rsidR="00BD7D83" w:rsidRPr="00000F0F">
        <w:rPr>
          <w:color w:val="0D0D0D" w:themeColor="text1" w:themeTint="F2"/>
        </w:rPr>
        <w:t>1.346 (</w:t>
      </w:r>
      <w:r w:rsidR="0058292B" w:rsidRPr="00000F0F">
        <w:rPr>
          <w:color w:val="0D0D0D" w:themeColor="text1" w:themeTint="F2"/>
        </w:rPr>
        <w:t>në mijë</w:t>
      </w:r>
      <w:r w:rsidR="00BD7D83" w:rsidRPr="00000F0F">
        <w:rPr>
          <w:color w:val="0D0D0D" w:themeColor="text1" w:themeTint="F2"/>
        </w:rPr>
        <w:t xml:space="preserve"> ) lekë </w:t>
      </w:r>
      <w:r w:rsidR="00D17532" w:rsidRPr="00000F0F">
        <w:rPr>
          <w:color w:val="0D0D0D" w:themeColor="text1" w:themeTint="F2"/>
        </w:rPr>
        <w:t xml:space="preserve"> </w:t>
      </w:r>
      <w:r w:rsidRPr="00000F0F">
        <w:t xml:space="preserve"> si dhe n</w:t>
      </w:r>
      <w:r w:rsidR="00BD7D83" w:rsidRPr="00000F0F">
        <w:t xml:space="preserve">ë </w:t>
      </w:r>
      <w:r w:rsidRPr="00000F0F">
        <w:t>vler</w:t>
      </w:r>
      <w:r w:rsidR="0058292B" w:rsidRPr="00000F0F">
        <w:t>ën 3.532 (në mijë</w:t>
      </w:r>
      <w:r w:rsidR="00BD7D83" w:rsidRPr="00000F0F">
        <w:t xml:space="preserve">) lekë,   </w:t>
      </w:r>
      <w:r w:rsidRPr="00000F0F">
        <w:t xml:space="preserve"> n</w:t>
      </w:r>
      <w:r w:rsidR="00BD7D83" w:rsidRPr="00000F0F">
        <w:t>ë</w:t>
      </w:r>
      <w:r w:rsidRPr="00000F0F">
        <w:t xml:space="preserve"> z</w:t>
      </w:r>
      <w:r w:rsidR="00BD7D83" w:rsidRPr="00000F0F">
        <w:t>ë</w:t>
      </w:r>
      <w:r w:rsidRPr="00000F0F">
        <w:t>rin 602 “ Shpenzime operatve/ “Mallra dhe shërbime</w:t>
      </w:r>
      <w:r w:rsidR="00D17532" w:rsidRPr="00000F0F">
        <w:t xml:space="preserve">. </w:t>
      </w:r>
      <w:r w:rsidR="00D17532" w:rsidRPr="00000F0F">
        <w:rPr>
          <w:rFonts w:eastAsia="Batang"/>
          <w:lang w:val="sv-SE"/>
        </w:rPr>
        <w:t>Pakësimi u konkretizua</w:t>
      </w:r>
      <w:r w:rsidR="0058292B" w:rsidRPr="00000F0F">
        <w:rPr>
          <w:rFonts w:eastAsia="Batang"/>
          <w:lang w:val="sv-SE"/>
        </w:rPr>
        <w:t xml:space="preserve"> </w:t>
      </w:r>
      <w:r w:rsidR="00D17532" w:rsidRPr="00000F0F">
        <w:rPr>
          <w:rFonts w:eastAsia="Batang"/>
          <w:lang w:val="sv-SE"/>
        </w:rPr>
        <w:t xml:space="preserve"> n</w:t>
      </w:r>
      <w:r w:rsidR="00BD7D83" w:rsidRPr="00000F0F">
        <w:rPr>
          <w:rFonts w:eastAsia="Batang"/>
          <w:lang w:val="sv-SE"/>
        </w:rPr>
        <w:t>ë</w:t>
      </w:r>
      <w:r w:rsidR="00D17532" w:rsidRPr="00000F0F">
        <w:rPr>
          <w:rFonts w:eastAsia="Batang"/>
          <w:lang w:val="sv-SE"/>
        </w:rPr>
        <w:t xml:space="preserve"> uljen e  shpenzimeve të parashikuara për mbulimin e aktiviteteve jashtë apo brenda vendit, të cilat kanë dhe mund të ndikonin  në realizimin e treguesve sasiorë.</w:t>
      </w:r>
    </w:p>
    <w:p w:rsidR="009079DB" w:rsidRPr="00000F0F" w:rsidRDefault="00BD7D83" w:rsidP="00000F0F">
      <w:pPr>
        <w:spacing w:line="276" w:lineRule="auto"/>
        <w:jc w:val="both"/>
      </w:pPr>
      <w:r w:rsidRPr="00000F0F">
        <w:rPr>
          <w:color w:val="0D0D0D" w:themeColor="text1" w:themeTint="F2"/>
        </w:rPr>
        <w:t>-</w:t>
      </w:r>
      <w:r w:rsidR="009079DB" w:rsidRPr="00000F0F">
        <w:rPr>
          <w:color w:val="0D0D0D" w:themeColor="text1" w:themeTint="F2"/>
        </w:rPr>
        <w:t xml:space="preserve">Me </w:t>
      </w:r>
      <w:r w:rsidR="009079DB" w:rsidRPr="00000F0F">
        <w:rPr>
          <w:rFonts w:eastAsia="Batang"/>
          <w:iCs/>
          <w:color w:val="0D0D0D" w:themeColor="text1" w:themeTint="F2"/>
        </w:rPr>
        <w:t xml:space="preserve">Aktit Normativ nr 12, datë 29.07.2022, buxheti i KDIMDP </w:t>
      </w:r>
      <w:r w:rsidRPr="00000F0F">
        <w:rPr>
          <w:rFonts w:eastAsia="Batang"/>
          <w:iCs/>
          <w:color w:val="0D0D0D" w:themeColor="text1" w:themeTint="F2"/>
        </w:rPr>
        <w:t>ë</w:t>
      </w:r>
      <w:r w:rsidR="009079DB" w:rsidRPr="00000F0F">
        <w:rPr>
          <w:rFonts w:eastAsia="Batang"/>
          <w:iCs/>
          <w:color w:val="0D0D0D" w:themeColor="text1" w:themeTint="F2"/>
        </w:rPr>
        <w:t>sht</w:t>
      </w:r>
      <w:r w:rsidRPr="00000F0F">
        <w:rPr>
          <w:rFonts w:eastAsia="Batang"/>
          <w:iCs/>
          <w:color w:val="0D0D0D" w:themeColor="text1" w:themeTint="F2"/>
        </w:rPr>
        <w:t>ë</w:t>
      </w:r>
      <w:r w:rsidR="009079DB" w:rsidRPr="00000F0F">
        <w:rPr>
          <w:rFonts w:eastAsia="Batang"/>
          <w:iCs/>
          <w:color w:val="0D0D0D" w:themeColor="text1" w:themeTint="F2"/>
        </w:rPr>
        <w:t xml:space="preserve"> shtuar me 700</w:t>
      </w:r>
      <w:r w:rsidRPr="00000F0F">
        <w:rPr>
          <w:rFonts w:eastAsia="Batang"/>
          <w:iCs/>
          <w:color w:val="0D0D0D" w:themeColor="text1" w:themeTint="F2"/>
        </w:rPr>
        <w:t>0</w:t>
      </w:r>
      <w:r w:rsidR="009079DB" w:rsidRPr="00000F0F">
        <w:rPr>
          <w:rFonts w:eastAsia="Batang"/>
          <w:iCs/>
          <w:color w:val="0D0D0D" w:themeColor="text1" w:themeTint="F2"/>
        </w:rPr>
        <w:t xml:space="preserve"> </w:t>
      </w:r>
      <w:r w:rsidRPr="00000F0F">
        <w:rPr>
          <w:rFonts w:eastAsia="Batang"/>
          <w:iCs/>
          <w:color w:val="0D0D0D" w:themeColor="text1" w:themeTint="F2"/>
        </w:rPr>
        <w:t xml:space="preserve">(në </w:t>
      </w:r>
      <w:r w:rsidR="009079DB" w:rsidRPr="00000F0F">
        <w:rPr>
          <w:rFonts w:eastAsia="Batang"/>
          <w:iCs/>
          <w:color w:val="0D0D0D" w:themeColor="text1" w:themeTint="F2"/>
        </w:rPr>
        <w:t>mij</w:t>
      </w:r>
      <w:r w:rsidRPr="00000F0F">
        <w:rPr>
          <w:rFonts w:eastAsia="Batang"/>
          <w:iCs/>
          <w:color w:val="0D0D0D" w:themeColor="text1" w:themeTint="F2"/>
        </w:rPr>
        <w:t>ë</w:t>
      </w:r>
      <w:r w:rsidR="0058292B" w:rsidRPr="00000F0F">
        <w:rPr>
          <w:rFonts w:eastAsia="Batang"/>
          <w:iCs/>
          <w:color w:val="0D0D0D" w:themeColor="text1" w:themeTint="F2"/>
        </w:rPr>
        <w:t xml:space="preserve">) </w:t>
      </w:r>
      <w:r w:rsidR="009079DB" w:rsidRPr="00000F0F">
        <w:rPr>
          <w:rFonts w:eastAsia="Batang"/>
          <w:iCs/>
          <w:color w:val="0D0D0D" w:themeColor="text1" w:themeTint="F2"/>
        </w:rPr>
        <w:t>lek</w:t>
      </w:r>
      <w:r w:rsidRPr="00000F0F">
        <w:rPr>
          <w:rFonts w:eastAsia="Batang"/>
          <w:iCs/>
          <w:color w:val="0D0D0D" w:themeColor="text1" w:themeTint="F2"/>
        </w:rPr>
        <w:t>ë</w:t>
      </w:r>
      <w:r w:rsidR="0058292B" w:rsidRPr="00000F0F">
        <w:rPr>
          <w:rFonts w:eastAsia="Batang"/>
          <w:iCs/>
          <w:color w:val="0D0D0D" w:themeColor="text1" w:themeTint="F2"/>
        </w:rPr>
        <w:t xml:space="preserve"> </w:t>
      </w:r>
      <w:r w:rsidR="009079DB" w:rsidRPr="00000F0F">
        <w:t>dhe njëkohësisht numri i të punësuarve është rritur me  5 persona, pra në total numri i punësonj</w:t>
      </w:r>
      <w:r w:rsidR="0058292B" w:rsidRPr="00000F0F">
        <w:t>ë</w:t>
      </w:r>
      <w:r w:rsidR="009079DB" w:rsidRPr="00000F0F">
        <w:t>sve për KDIMDP-në është 49 punonjës.</w:t>
      </w:r>
    </w:p>
    <w:p w:rsidR="00786711" w:rsidRPr="00000F0F" w:rsidRDefault="009079DB" w:rsidP="00000F0F">
      <w:pPr>
        <w:spacing w:line="276" w:lineRule="auto"/>
        <w:jc w:val="both"/>
      </w:pPr>
      <w:r w:rsidRPr="00000F0F">
        <w:t xml:space="preserve"> - Me Aktit Normativ, nr. 17, datë 01.12.2022 “Për disa ndryshime në Ligjin 115/2021 </w:t>
      </w:r>
      <w:r w:rsidR="00BD7D83" w:rsidRPr="00000F0F">
        <w:t xml:space="preserve">    </w:t>
      </w:r>
      <w:r w:rsidRPr="00000F0F">
        <w:t xml:space="preserve">“ Për buxhetin e vitit 2022”, buxheti i KDIMDP-së, </w:t>
      </w:r>
      <w:r w:rsidR="00BD7D83" w:rsidRPr="00000F0F">
        <w:t>ë</w:t>
      </w:r>
      <w:r w:rsidRPr="00000F0F">
        <w:t>sht</w:t>
      </w:r>
      <w:r w:rsidR="00BD7D83" w:rsidRPr="00000F0F">
        <w:t>ë</w:t>
      </w:r>
      <w:r w:rsidRPr="00000F0F">
        <w:t xml:space="preserve"> pak</w:t>
      </w:r>
      <w:r w:rsidR="00BD7D83" w:rsidRPr="00000F0F">
        <w:t>ë</w:t>
      </w:r>
      <w:r w:rsidRPr="00000F0F">
        <w:t>sur në vlerën për 2,000 mijë lekë dhe konkretisht zëri “Shpenzime kapitale”</w:t>
      </w:r>
      <w:r w:rsidR="00786711" w:rsidRPr="00000F0F">
        <w:t xml:space="preserve">, </w:t>
      </w:r>
      <w:r w:rsidRPr="00000F0F">
        <w:t xml:space="preserve"> nd</w:t>
      </w:r>
      <w:r w:rsidR="00786711" w:rsidRPr="00000F0F">
        <w:t>ë</w:t>
      </w:r>
      <w:r w:rsidRPr="00000F0F">
        <w:t>rsa ka rialokime t</w:t>
      </w:r>
      <w:r w:rsidR="00786711" w:rsidRPr="00000F0F">
        <w:t>ë</w:t>
      </w:r>
      <w:r w:rsidRPr="00000F0F">
        <w:t xml:space="preserve"> shpenzimeve </w:t>
      </w:r>
      <w:r w:rsidRPr="00000F0F">
        <w:lastRenderedPageBreak/>
        <w:t xml:space="preserve">kapitale </w:t>
      </w:r>
      <w:r w:rsidR="00786711" w:rsidRPr="00000F0F">
        <w:t xml:space="preserve"> </w:t>
      </w:r>
      <w:r w:rsidRPr="00000F0F">
        <w:t>nga nj</w:t>
      </w:r>
      <w:r w:rsidR="0058292B" w:rsidRPr="00000F0F">
        <w:t>ë</w:t>
      </w:r>
      <w:r w:rsidRPr="00000F0F">
        <w:t>ri projekt n</w:t>
      </w:r>
      <w:r w:rsidR="00786711" w:rsidRPr="00000F0F">
        <w:t>ë</w:t>
      </w:r>
      <w:r w:rsidRPr="00000F0F">
        <w:t xml:space="preserve"> tjetrin sipas argumentimeve t</w:t>
      </w:r>
      <w:r w:rsidR="00786711" w:rsidRPr="00000F0F">
        <w:t>ë</w:t>
      </w:r>
      <w:r w:rsidRPr="00000F0F">
        <w:t xml:space="preserve"> mosrealizimit dhe nevojave </w:t>
      </w:r>
      <w:r w:rsidR="00786711" w:rsidRPr="00000F0F">
        <w:t>reale n</w:t>
      </w:r>
      <w:r w:rsidR="0058292B" w:rsidRPr="00000F0F">
        <w:t>ë</w:t>
      </w:r>
      <w:r w:rsidR="00786711" w:rsidRPr="00000F0F">
        <w:t xml:space="preserve"> projektin egzistues 18AD102. </w:t>
      </w:r>
    </w:p>
    <w:p w:rsidR="00186598" w:rsidRPr="00000F0F" w:rsidRDefault="00786711" w:rsidP="00000F0F">
      <w:pPr>
        <w:pStyle w:val="NormalWeb"/>
        <w:shd w:val="clear" w:color="auto" w:fill="FFFFFF"/>
        <w:spacing w:before="0" w:beforeAutospacing="0" w:after="0" w:afterAutospacing="0" w:line="276" w:lineRule="auto"/>
        <w:jc w:val="both"/>
        <w:textAlignment w:val="baseline"/>
      </w:pPr>
      <w:r w:rsidRPr="00000F0F">
        <w:t>-</w:t>
      </w:r>
      <w:r w:rsidR="0058292B" w:rsidRPr="00000F0F">
        <w:t>P</w:t>
      </w:r>
      <w:r w:rsidRPr="00000F0F">
        <w:t xml:space="preserve">ër shkak </w:t>
      </w:r>
      <w:proofErr w:type="gramStart"/>
      <w:r w:rsidRPr="00000F0F">
        <w:t>të  pamjaftueshmërisë</w:t>
      </w:r>
      <w:proofErr w:type="gramEnd"/>
      <w:r w:rsidRPr="00000F0F">
        <w:t xml:space="preserve"> financiare  për mbulimin e disa aktiviteteve autoriteti për të plotësuar  hendekun dhe realizimin e sukseshmëm të tyre  ka shfrytëzuar rialokimet brenda vetë zërave buxhetorë, ku  më konkretisht fondi prej 4.000 ( në mijë) lekë ka p</w:t>
      </w:r>
      <w:r w:rsidR="0058292B" w:rsidRPr="00000F0F">
        <w:t>a</w:t>
      </w:r>
      <w:r w:rsidRPr="00000F0F">
        <w:t>k</w:t>
      </w:r>
      <w:r w:rsidR="0058292B" w:rsidRPr="00000F0F">
        <w:t>ë</w:t>
      </w:r>
      <w:r w:rsidRPr="00000F0F">
        <w:t>s</w:t>
      </w:r>
      <w:r w:rsidR="0058292B" w:rsidRPr="00000F0F">
        <w:t xml:space="preserve">uar </w:t>
      </w:r>
      <w:r w:rsidRPr="00000F0F">
        <w:t>zerin “</w:t>
      </w:r>
      <w:r w:rsidRPr="00000F0F">
        <w:rPr>
          <w:color w:val="0D0D0D" w:themeColor="text1" w:themeTint="F2"/>
        </w:rPr>
        <w:t>Paga dhe Sigurime”, d</w:t>
      </w:r>
      <w:r w:rsidR="0058292B" w:rsidRPr="00000F0F">
        <w:rPr>
          <w:color w:val="0D0D0D" w:themeColor="text1" w:themeTint="F2"/>
        </w:rPr>
        <w:t xml:space="preserve">uke shtuar me </w:t>
      </w:r>
      <w:proofErr w:type="spellStart"/>
      <w:r w:rsidR="0058292B" w:rsidRPr="00000F0F">
        <w:rPr>
          <w:color w:val="0D0D0D" w:themeColor="text1" w:themeTint="F2"/>
        </w:rPr>
        <w:t>të</w:t>
      </w:r>
      <w:proofErr w:type="spellEnd"/>
      <w:r w:rsidR="0058292B" w:rsidRPr="00000F0F">
        <w:rPr>
          <w:color w:val="0D0D0D" w:themeColor="text1" w:themeTint="F2"/>
        </w:rPr>
        <w:t xml:space="preserve"> </w:t>
      </w:r>
      <w:proofErr w:type="spellStart"/>
      <w:r w:rsidR="0058292B" w:rsidRPr="00000F0F">
        <w:rPr>
          <w:color w:val="0D0D0D" w:themeColor="text1" w:themeTint="F2"/>
        </w:rPr>
        <w:t>njëjtën</w:t>
      </w:r>
      <w:proofErr w:type="spellEnd"/>
      <w:r w:rsidR="0058292B" w:rsidRPr="00000F0F">
        <w:rPr>
          <w:color w:val="0D0D0D" w:themeColor="text1" w:themeTint="F2"/>
        </w:rPr>
        <w:t xml:space="preserve"> </w:t>
      </w:r>
      <w:proofErr w:type="spellStart"/>
      <w:r w:rsidR="0058292B" w:rsidRPr="00000F0F">
        <w:rPr>
          <w:color w:val="0D0D0D" w:themeColor="text1" w:themeTint="F2"/>
        </w:rPr>
        <w:t>vlerë</w:t>
      </w:r>
      <w:proofErr w:type="spellEnd"/>
      <w:r w:rsidR="0058292B" w:rsidRPr="00000F0F">
        <w:rPr>
          <w:color w:val="0D0D0D" w:themeColor="text1" w:themeTint="F2"/>
        </w:rPr>
        <w:t xml:space="preserve"> </w:t>
      </w:r>
      <w:proofErr w:type="spellStart"/>
      <w:r w:rsidRPr="00000F0F">
        <w:t>zërin</w:t>
      </w:r>
      <w:proofErr w:type="spellEnd"/>
      <w:r w:rsidRPr="00000F0F">
        <w:t xml:space="preserve"> 602 </w:t>
      </w:r>
      <w:r w:rsidR="0058292B" w:rsidRPr="00000F0F">
        <w:t xml:space="preserve">                        </w:t>
      </w:r>
      <w:r w:rsidRPr="00000F0F">
        <w:t xml:space="preserve">“ </w:t>
      </w:r>
      <w:proofErr w:type="spellStart"/>
      <w:r w:rsidRPr="00000F0F">
        <w:t>Shpenzime</w:t>
      </w:r>
      <w:proofErr w:type="spellEnd"/>
      <w:r w:rsidRPr="00000F0F">
        <w:t xml:space="preserve"> operat</w:t>
      </w:r>
      <w:r w:rsidR="0058292B" w:rsidRPr="00000F0F">
        <w:t>i</w:t>
      </w:r>
      <w:r w:rsidRPr="00000F0F">
        <w:t>ve/ “</w:t>
      </w:r>
      <w:proofErr w:type="spellStart"/>
      <w:r w:rsidRPr="00000F0F">
        <w:t>Mallra</w:t>
      </w:r>
      <w:proofErr w:type="spellEnd"/>
      <w:r w:rsidRPr="00000F0F">
        <w:t xml:space="preserve"> </w:t>
      </w:r>
      <w:proofErr w:type="spellStart"/>
      <w:r w:rsidRPr="00000F0F">
        <w:t>dhe</w:t>
      </w:r>
      <w:proofErr w:type="spellEnd"/>
      <w:r w:rsidRPr="00000F0F">
        <w:t xml:space="preserve"> </w:t>
      </w:r>
      <w:proofErr w:type="spellStart"/>
      <w:r w:rsidRPr="00000F0F">
        <w:t>shërbime</w:t>
      </w:r>
      <w:proofErr w:type="spellEnd"/>
      <w:r w:rsidR="0058292B" w:rsidRPr="00000F0F">
        <w:t>”</w:t>
      </w:r>
      <w:r w:rsidR="00186598" w:rsidRPr="00000F0F">
        <w:t>.</w:t>
      </w:r>
      <w:r w:rsidR="0058292B" w:rsidRPr="00000F0F">
        <w:t xml:space="preserve"> </w:t>
      </w:r>
      <w:proofErr w:type="spellStart"/>
      <w:r w:rsidR="00186598" w:rsidRPr="00000F0F">
        <w:t>Këto</w:t>
      </w:r>
      <w:proofErr w:type="spellEnd"/>
      <w:r w:rsidR="00186598" w:rsidRPr="00000F0F">
        <w:t xml:space="preserve"> </w:t>
      </w:r>
      <w:proofErr w:type="spellStart"/>
      <w:proofErr w:type="gramStart"/>
      <w:r w:rsidR="00186598" w:rsidRPr="00000F0F">
        <w:t>f</w:t>
      </w:r>
      <w:r w:rsidR="0058292B" w:rsidRPr="00000F0F">
        <w:t>onde</w:t>
      </w:r>
      <w:proofErr w:type="spellEnd"/>
      <w:r w:rsidR="00186598" w:rsidRPr="00000F0F">
        <w:t xml:space="preserve"> </w:t>
      </w:r>
      <w:r w:rsidR="0058292B" w:rsidRPr="00000F0F">
        <w:t xml:space="preserve"> </w:t>
      </w:r>
      <w:proofErr w:type="spellStart"/>
      <w:r w:rsidR="00186598" w:rsidRPr="00000F0F">
        <w:t>të</w:t>
      </w:r>
      <w:proofErr w:type="spellEnd"/>
      <w:proofErr w:type="gramEnd"/>
      <w:r w:rsidR="0058292B" w:rsidRPr="00000F0F">
        <w:t xml:space="preserve"> </w:t>
      </w:r>
      <w:proofErr w:type="spellStart"/>
      <w:r w:rsidR="0058292B" w:rsidRPr="00000F0F">
        <w:t>shtuara</w:t>
      </w:r>
      <w:proofErr w:type="spellEnd"/>
      <w:r w:rsidR="0058292B" w:rsidRPr="00000F0F">
        <w:t xml:space="preserve"> </w:t>
      </w:r>
      <w:r w:rsidR="00186598" w:rsidRPr="00000F0F">
        <w:t xml:space="preserve"> u </w:t>
      </w:r>
      <w:proofErr w:type="spellStart"/>
      <w:r w:rsidR="00186598" w:rsidRPr="00000F0F">
        <w:t>përdorën</w:t>
      </w:r>
      <w:proofErr w:type="spellEnd"/>
      <w:r w:rsidR="00186598" w:rsidRPr="00000F0F">
        <w:t xml:space="preserve"> </w:t>
      </w:r>
      <w:r w:rsidR="00186598" w:rsidRPr="00000F0F">
        <w:rPr>
          <w:rFonts w:eastAsia="Calibri"/>
        </w:rPr>
        <w:t xml:space="preserve">  </w:t>
      </w:r>
      <w:proofErr w:type="spellStart"/>
      <w:r w:rsidR="00186598" w:rsidRPr="00000F0F">
        <w:rPr>
          <w:rFonts w:eastAsia="Calibri"/>
        </w:rPr>
        <w:t>jo</w:t>
      </w:r>
      <w:proofErr w:type="spellEnd"/>
      <w:r w:rsidR="00186598" w:rsidRPr="00000F0F">
        <w:rPr>
          <w:rFonts w:eastAsia="Calibri"/>
        </w:rPr>
        <w:t xml:space="preserve"> </w:t>
      </w:r>
      <w:proofErr w:type="spellStart"/>
      <w:r w:rsidR="00186598" w:rsidRPr="00000F0F">
        <w:rPr>
          <w:rFonts w:eastAsia="Calibri"/>
        </w:rPr>
        <w:t>vetëm</w:t>
      </w:r>
      <w:proofErr w:type="spellEnd"/>
      <w:r w:rsidR="00186598" w:rsidRPr="00000F0F">
        <w:rPr>
          <w:rFonts w:eastAsia="Calibri"/>
        </w:rPr>
        <w:t xml:space="preserve"> </w:t>
      </w:r>
      <w:proofErr w:type="spellStart"/>
      <w:r w:rsidR="00186598" w:rsidRPr="00000F0F">
        <w:rPr>
          <w:rFonts w:eastAsia="Calibri"/>
        </w:rPr>
        <w:t>për</w:t>
      </w:r>
      <w:proofErr w:type="spellEnd"/>
      <w:r w:rsidR="00186598" w:rsidRPr="00000F0F">
        <w:rPr>
          <w:rFonts w:eastAsia="Calibri"/>
        </w:rPr>
        <w:t xml:space="preserve"> </w:t>
      </w:r>
      <w:proofErr w:type="spellStart"/>
      <w:r w:rsidR="00186598" w:rsidRPr="00000F0F">
        <w:rPr>
          <w:rFonts w:eastAsia="Calibri"/>
        </w:rPr>
        <w:t>mbulimin</w:t>
      </w:r>
      <w:proofErr w:type="spellEnd"/>
      <w:r w:rsidR="00186598" w:rsidRPr="00000F0F">
        <w:rPr>
          <w:rFonts w:eastAsia="Calibri"/>
        </w:rPr>
        <w:t xml:space="preserve"> </w:t>
      </w:r>
      <w:proofErr w:type="spellStart"/>
      <w:r w:rsidR="00186598" w:rsidRPr="00000F0F">
        <w:rPr>
          <w:rFonts w:eastAsia="Calibri"/>
        </w:rPr>
        <w:t>financiar</w:t>
      </w:r>
      <w:proofErr w:type="spellEnd"/>
      <w:r w:rsidR="00186598" w:rsidRPr="00000F0F">
        <w:rPr>
          <w:rFonts w:eastAsia="Calibri"/>
        </w:rPr>
        <w:t xml:space="preserve"> </w:t>
      </w:r>
      <w:proofErr w:type="spellStart"/>
      <w:r w:rsidR="00186598" w:rsidRPr="00000F0F">
        <w:rPr>
          <w:rFonts w:eastAsia="Calibri"/>
        </w:rPr>
        <w:t>të</w:t>
      </w:r>
      <w:proofErr w:type="spellEnd"/>
      <w:r w:rsidR="00186598" w:rsidRPr="00000F0F">
        <w:rPr>
          <w:rFonts w:eastAsia="Calibri"/>
        </w:rPr>
        <w:t xml:space="preserve"> </w:t>
      </w:r>
      <w:proofErr w:type="spellStart"/>
      <w:r w:rsidR="00186598" w:rsidRPr="00000F0F">
        <w:rPr>
          <w:rFonts w:eastAsia="Calibri"/>
        </w:rPr>
        <w:t>aktiviteteve</w:t>
      </w:r>
      <w:proofErr w:type="spellEnd"/>
      <w:r w:rsidR="00186598" w:rsidRPr="00000F0F">
        <w:rPr>
          <w:rFonts w:eastAsia="Calibri"/>
        </w:rPr>
        <w:t xml:space="preserve"> të shtuara, si rezultat i  </w:t>
      </w:r>
      <w:r w:rsidR="00186598" w:rsidRPr="00000F0F">
        <w:t xml:space="preserve">funksioneve dhe kompetencave shtesë të Zyrës </w:t>
      </w:r>
      <w:proofErr w:type="spellStart"/>
      <w:r w:rsidR="00186598" w:rsidRPr="00000F0F">
        <w:t>së</w:t>
      </w:r>
      <w:proofErr w:type="spellEnd"/>
      <w:r w:rsidR="00186598" w:rsidRPr="00000F0F">
        <w:t xml:space="preserve"> </w:t>
      </w:r>
      <w:proofErr w:type="spellStart"/>
      <w:r w:rsidR="00186598" w:rsidRPr="00000F0F">
        <w:t>Komisionerit</w:t>
      </w:r>
      <w:proofErr w:type="spellEnd"/>
      <w:r w:rsidR="00186598" w:rsidRPr="00000F0F">
        <w:t xml:space="preserve">, </w:t>
      </w:r>
      <w:proofErr w:type="spellStart"/>
      <w:r w:rsidR="00186598" w:rsidRPr="00000F0F">
        <w:t>por</w:t>
      </w:r>
      <w:proofErr w:type="spellEnd"/>
      <w:r w:rsidR="00186598" w:rsidRPr="00000F0F">
        <w:t xml:space="preserve"> </w:t>
      </w:r>
      <w:proofErr w:type="spellStart"/>
      <w:r w:rsidR="00186598" w:rsidRPr="00000F0F">
        <w:t>edhe</w:t>
      </w:r>
      <w:proofErr w:type="spellEnd"/>
      <w:r w:rsidR="00186598" w:rsidRPr="00000F0F">
        <w:t xml:space="preserve"> </w:t>
      </w:r>
      <w:proofErr w:type="spellStart"/>
      <w:r w:rsidR="00186598" w:rsidRPr="00000F0F">
        <w:t>për</w:t>
      </w:r>
      <w:proofErr w:type="spellEnd"/>
      <w:r w:rsidR="00186598" w:rsidRPr="00000F0F">
        <w:t xml:space="preserve"> </w:t>
      </w:r>
      <w:proofErr w:type="spellStart"/>
      <w:r w:rsidR="00186598" w:rsidRPr="00000F0F">
        <w:t>shkak</w:t>
      </w:r>
      <w:proofErr w:type="spellEnd"/>
      <w:r w:rsidR="00186598" w:rsidRPr="00000F0F">
        <w:t xml:space="preserve"> </w:t>
      </w:r>
      <w:proofErr w:type="spellStart"/>
      <w:r w:rsidR="00186598" w:rsidRPr="00000F0F">
        <w:t>të</w:t>
      </w:r>
      <w:proofErr w:type="spellEnd"/>
      <w:r w:rsidR="00186598" w:rsidRPr="00000F0F">
        <w:t xml:space="preserve"> </w:t>
      </w:r>
      <w:proofErr w:type="spellStart"/>
      <w:r w:rsidR="00186598" w:rsidRPr="00000F0F">
        <w:t>rëndësisë</w:t>
      </w:r>
      <w:proofErr w:type="spellEnd"/>
      <w:r w:rsidR="00186598" w:rsidRPr="00000F0F">
        <w:t xml:space="preserve"> </w:t>
      </w:r>
      <w:proofErr w:type="spellStart"/>
      <w:r w:rsidR="00186598" w:rsidRPr="00000F0F">
        <w:t>dhe</w:t>
      </w:r>
      <w:proofErr w:type="spellEnd"/>
      <w:r w:rsidR="00186598" w:rsidRPr="00000F0F">
        <w:t xml:space="preserve"> </w:t>
      </w:r>
      <w:proofErr w:type="spellStart"/>
      <w:r w:rsidR="00186598" w:rsidRPr="00000F0F">
        <w:t>intensitetit</w:t>
      </w:r>
      <w:proofErr w:type="spellEnd"/>
      <w:r w:rsidR="00186598" w:rsidRPr="00000F0F">
        <w:t xml:space="preserve"> </w:t>
      </w:r>
      <w:proofErr w:type="spellStart"/>
      <w:r w:rsidR="00186598" w:rsidRPr="00000F0F">
        <w:t>në</w:t>
      </w:r>
      <w:proofErr w:type="spellEnd"/>
      <w:r w:rsidR="00186598" w:rsidRPr="00000F0F">
        <w:t xml:space="preserve"> </w:t>
      </w:r>
      <w:proofErr w:type="spellStart"/>
      <w:r w:rsidR="00186598" w:rsidRPr="00000F0F">
        <w:t>vijim</w:t>
      </w:r>
      <w:proofErr w:type="spellEnd"/>
      <w:r w:rsidR="00186598" w:rsidRPr="00000F0F">
        <w:t xml:space="preserve"> </w:t>
      </w:r>
      <w:proofErr w:type="spellStart"/>
      <w:r w:rsidR="00186598" w:rsidRPr="00000F0F">
        <w:t>të</w:t>
      </w:r>
      <w:proofErr w:type="spellEnd"/>
      <w:r w:rsidR="00186598" w:rsidRPr="00000F0F">
        <w:t xml:space="preserve"> </w:t>
      </w:r>
      <w:proofErr w:type="spellStart"/>
      <w:r w:rsidR="00186598" w:rsidRPr="00000F0F">
        <w:t>takimeve</w:t>
      </w:r>
      <w:proofErr w:type="spellEnd"/>
      <w:r w:rsidR="00186598" w:rsidRPr="00000F0F">
        <w:t xml:space="preserve">   </w:t>
      </w:r>
      <w:proofErr w:type="spellStart"/>
      <w:r w:rsidR="00186598" w:rsidRPr="00000F0F">
        <w:t>në</w:t>
      </w:r>
      <w:proofErr w:type="spellEnd"/>
      <w:r w:rsidR="00186598" w:rsidRPr="00000F0F">
        <w:t xml:space="preserve"> </w:t>
      </w:r>
      <w:proofErr w:type="spellStart"/>
      <w:r w:rsidR="00186598" w:rsidRPr="00000F0F">
        <w:t>Bruksel</w:t>
      </w:r>
      <w:proofErr w:type="spellEnd"/>
      <w:r w:rsidR="00186598" w:rsidRPr="00000F0F">
        <w:t xml:space="preserve">,   </w:t>
      </w:r>
      <w:proofErr w:type="spellStart"/>
      <w:r w:rsidR="00186598" w:rsidRPr="00000F0F">
        <w:t>në</w:t>
      </w:r>
      <w:proofErr w:type="spellEnd"/>
      <w:r w:rsidR="00186598" w:rsidRPr="00000F0F">
        <w:t xml:space="preserve"> </w:t>
      </w:r>
      <w:proofErr w:type="spellStart"/>
      <w:r w:rsidR="00186598" w:rsidRPr="00000F0F">
        <w:t>kuadër</w:t>
      </w:r>
      <w:proofErr w:type="spellEnd"/>
      <w:r w:rsidR="00186598" w:rsidRPr="00000F0F">
        <w:t xml:space="preserve"> </w:t>
      </w:r>
      <w:proofErr w:type="spellStart"/>
      <w:r w:rsidR="00186598" w:rsidRPr="00000F0F">
        <w:t>të</w:t>
      </w:r>
      <w:proofErr w:type="spellEnd"/>
      <w:r w:rsidR="00186598" w:rsidRPr="00000F0F">
        <w:t xml:space="preserve"> </w:t>
      </w:r>
      <w:proofErr w:type="spellStart"/>
      <w:r w:rsidR="00186598" w:rsidRPr="00000F0F">
        <w:t>procesit</w:t>
      </w:r>
      <w:proofErr w:type="spellEnd"/>
      <w:r w:rsidR="00186598" w:rsidRPr="00000F0F">
        <w:t xml:space="preserve"> </w:t>
      </w:r>
      <w:proofErr w:type="spellStart"/>
      <w:r w:rsidR="00186598" w:rsidRPr="00000F0F">
        <w:t>të</w:t>
      </w:r>
      <w:proofErr w:type="spellEnd"/>
      <w:r w:rsidR="00186598" w:rsidRPr="00000F0F">
        <w:t xml:space="preserve"> </w:t>
      </w:r>
      <w:proofErr w:type="spellStart"/>
      <w:r w:rsidR="00186598" w:rsidRPr="00000F0F">
        <w:t>integrimit</w:t>
      </w:r>
      <w:proofErr w:type="spellEnd"/>
      <w:r w:rsidR="00186598" w:rsidRPr="00000F0F">
        <w:t xml:space="preserve"> </w:t>
      </w:r>
      <w:proofErr w:type="spellStart"/>
      <w:r w:rsidR="00186598" w:rsidRPr="00000F0F">
        <w:t>evropian</w:t>
      </w:r>
      <w:proofErr w:type="spellEnd"/>
      <w:r w:rsidR="00186598" w:rsidRPr="00000F0F">
        <w:t>.</w:t>
      </w:r>
    </w:p>
    <w:p w:rsidR="00786711" w:rsidRPr="00000F0F" w:rsidRDefault="00186598" w:rsidP="00000F0F">
      <w:pPr>
        <w:spacing w:line="276" w:lineRule="auto"/>
        <w:jc w:val="both"/>
      </w:pPr>
      <w:r w:rsidRPr="00000F0F">
        <w:t xml:space="preserve"> </w:t>
      </w:r>
    </w:p>
    <w:p w:rsidR="009079DB" w:rsidRPr="00000F0F" w:rsidRDefault="00786711" w:rsidP="00000F0F">
      <w:pPr>
        <w:spacing w:line="276" w:lineRule="auto"/>
        <w:jc w:val="both"/>
        <w:rPr>
          <w:color w:val="0D0D0D" w:themeColor="text1" w:themeTint="F2"/>
        </w:rPr>
      </w:pPr>
      <w:r w:rsidRPr="00000F0F">
        <w:rPr>
          <w:color w:val="0D0D0D" w:themeColor="text1" w:themeTint="F2"/>
        </w:rPr>
        <w:t>B</w:t>
      </w:r>
      <w:r w:rsidR="009079DB" w:rsidRPr="00000F0F">
        <w:rPr>
          <w:color w:val="0D0D0D" w:themeColor="text1" w:themeTint="F2"/>
        </w:rPr>
        <w:t>uxheti i KDIMDPsë p</w:t>
      </w:r>
      <w:r w:rsidRPr="00000F0F">
        <w:rPr>
          <w:color w:val="0D0D0D" w:themeColor="text1" w:themeTint="F2"/>
        </w:rPr>
        <w:t>ë</w:t>
      </w:r>
      <w:r w:rsidR="009079DB" w:rsidRPr="00000F0F">
        <w:rPr>
          <w:color w:val="0D0D0D" w:themeColor="text1" w:themeTint="F2"/>
        </w:rPr>
        <w:t>r vitin 2022, ka kaluar kështu në vlerën totale për 79.252 (n</w:t>
      </w:r>
      <w:r w:rsidRPr="00000F0F">
        <w:rPr>
          <w:color w:val="0D0D0D" w:themeColor="text1" w:themeTint="F2"/>
        </w:rPr>
        <w:t>ë</w:t>
      </w:r>
      <w:r w:rsidR="009079DB" w:rsidRPr="00000F0F">
        <w:rPr>
          <w:color w:val="0D0D0D" w:themeColor="text1" w:themeTint="F2"/>
        </w:rPr>
        <w:t xml:space="preserve">  mijë)  lekë</w:t>
      </w:r>
      <w:r w:rsidRPr="00000F0F">
        <w:rPr>
          <w:color w:val="0D0D0D" w:themeColor="text1" w:themeTint="F2"/>
        </w:rPr>
        <w:t xml:space="preserve">, përfshirë këtu edhe efektin e  fondit të vecantë  </w:t>
      </w:r>
    </w:p>
    <w:p w:rsidR="009079DB" w:rsidRPr="00000F0F" w:rsidRDefault="009079DB" w:rsidP="00000F0F">
      <w:pPr>
        <w:spacing w:line="276" w:lineRule="auto"/>
        <w:jc w:val="both"/>
        <w:rPr>
          <w:rFonts w:eastAsia="Batang"/>
          <w:iCs/>
          <w:color w:val="0D0D0D" w:themeColor="text1" w:themeTint="F2"/>
        </w:rPr>
      </w:pPr>
    </w:p>
    <w:p w:rsidR="009A1190" w:rsidRPr="00000F0F" w:rsidRDefault="00715654" w:rsidP="00000F0F">
      <w:pPr>
        <w:spacing w:line="276" w:lineRule="auto"/>
        <w:jc w:val="both"/>
        <w:rPr>
          <w:rFonts w:eastAsia="Batang"/>
          <w:iCs/>
          <w:color w:val="0D0D0D" w:themeColor="text1" w:themeTint="F2"/>
        </w:rPr>
      </w:pPr>
      <w:r w:rsidRPr="00000F0F">
        <w:rPr>
          <w:rFonts w:eastAsia="Batang"/>
          <w:iCs/>
          <w:color w:val="0D0D0D" w:themeColor="text1" w:themeTint="F2"/>
        </w:rPr>
        <w:t xml:space="preserve"> V</w:t>
      </w:r>
      <w:r w:rsidR="007C4AEB" w:rsidRPr="00000F0F">
        <w:rPr>
          <w:rFonts w:eastAsia="Batang"/>
          <w:iCs/>
          <w:color w:val="0D0D0D" w:themeColor="text1" w:themeTint="F2"/>
        </w:rPr>
        <w:t>lera</w:t>
      </w:r>
      <w:r w:rsidR="009A1190" w:rsidRPr="00000F0F">
        <w:rPr>
          <w:rFonts w:eastAsia="Batang"/>
          <w:iCs/>
          <w:color w:val="0D0D0D" w:themeColor="text1" w:themeTint="F2"/>
        </w:rPr>
        <w:t xml:space="preserve"> e mbartur </w:t>
      </w:r>
      <w:r w:rsidR="005814B3" w:rsidRPr="00000F0F">
        <w:rPr>
          <w:rFonts w:eastAsia="Batang"/>
          <w:iCs/>
          <w:color w:val="0D0D0D" w:themeColor="text1" w:themeTint="F2"/>
        </w:rPr>
        <w:t xml:space="preserve">nga viti 2021, </w:t>
      </w:r>
      <w:r w:rsidR="009A1190" w:rsidRPr="00000F0F">
        <w:rPr>
          <w:rFonts w:eastAsia="Batang"/>
          <w:iCs/>
          <w:color w:val="0D0D0D" w:themeColor="text1" w:themeTint="F2"/>
        </w:rPr>
        <w:t>sipa</w:t>
      </w:r>
      <w:r w:rsidR="00441F14" w:rsidRPr="00000F0F">
        <w:rPr>
          <w:rFonts w:eastAsia="Batang"/>
          <w:iCs/>
          <w:color w:val="0D0D0D" w:themeColor="text1" w:themeTint="F2"/>
        </w:rPr>
        <w:t xml:space="preserve">s artikujve buxhetore, </w:t>
      </w:r>
      <w:r w:rsidRPr="00000F0F">
        <w:rPr>
          <w:rFonts w:eastAsia="Batang"/>
          <w:iCs/>
          <w:color w:val="0D0D0D" w:themeColor="text1" w:themeTint="F2"/>
        </w:rPr>
        <w:t xml:space="preserve">me burim financimi donacionet/sponsorizimet </w:t>
      </w:r>
      <w:r w:rsidR="00441F14" w:rsidRPr="00000F0F">
        <w:rPr>
          <w:rFonts w:eastAsia="Batang"/>
          <w:iCs/>
          <w:color w:val="0D0D0D" w:themeColor="text1" w:themeTint="F2"/>
        </w:rPr>
        <w:t>paraqitet</w:t>
      </w:r>
      <w:r w:rsidR="009A1190" w:rsidRPr="00000F0F">
        <w:rPr>
          <w:rFonts w:eastAsia="Batang"/>
          <w:iCs/>
          <w:color w:val="0D0D0D" w:themeColor="text1" w:themeTint="F2"/>
        </w:rPr>
        <w:t xml:space="preserve"> për sa e si më poshtë:</w:t>
      </w:r>
    </w:p>
    <w:p w:rsidR="000F7C1E" w:rsidRPr="00000F0F" w:rsidRDefault="000F7C1E" w:rsidP="00000F0F">
      <w:pPr>
        <w:spacing w:line="276" w:lineRule="auto"/>
        <w:jc w:val="both"/>
        <w:rPr>
          <w:rFonts w:eastAsia="Batang"/>
          <w:iCs/>
          <w:color w:val="0D0D0D" w:themeColor="text1" w:themeTint="F2"/>
        </w:rPr>
      </w:pPr>
    </w:p>
    <w:p w:rsidR="009A1190" w:rsidRPr="00000F0F" w:rsidRDefault="009A1190" w:rsidP="00000F0F">
      <w:pPr>
        <w:pStyle w:val="ListParagraph"/>
        <w:numPr>
          <w:ilvl w:val="0"/>
          <w:numId w:val="4"/>
        </w:numPr>
        <w:jc w:val="both"/>
        <w:rPr>
          <w:rFonts w:ascii="Times New Roman" w:eastAsia="Batang" w:hAnsi="Times New Roman"/>
          <w:iCs/>
          <w:color w:val="0D0D0D" w:themeColor="text1" w:themeTint="F2"/>
          <w:sz w:val="24"/>
          <w:szCs w:val="24"/>
        </w:rPr>
      </w:pPr>
      <w:r w:rsidRPr="00000F0F">
        <w:rPr>
          <w:rFonts w:ascii="Times New Roman" w:eastAsia="Batang" w:hAnsi="Times New Roman"/>
          <w:iCs/>
          <w:color w:val="0D0D0D" w:themeColor="text1" w:themeTint="F2"/>
          <w:sz w:val="24"/>
          <w:szCs w:val="24"/>
        </w:rPr>
        <w:t>S</w:t>
      </w:r>
      <w:r w:rsidR="00A21D52" w:rsidRPr="00000F0F">
        <w:rPr>
          <w:rFonts w:ascii="Times New Roman" w:eastAsia="Batang" w:hAnsi="Times New Roman"/>
          <w:iCs/>
          <w:color w:val="0D0D0D" w:themeColor="text1" w:themeTint="F2"/>
          <w:sz w:val="24"/>
          <w:szCs w:val="24"/>
        </w:rPr>
        <w:t xml:space="preserve">hpenzime operative në vlerën  </w:t>
      </w:r>
      <w:r w:rsidR="005814B3" w:rsidRPr="00000F0F">
        <w:rPr>
          <w:rFonts w:ascii="Times New Roman" w:eastAsia="Batang" w:hAnsi="Times New Roman"/>
          <w:iCs/>
          <w:color w:val="0D0D0D" w:themeColor="text1" w:themeTint="F2"/>
          <w:sz w:val="24"/>
          <w:szCs w:val="24"/>
        </w:rPr>
        <w:t>8.156.612</w:t>
      </w:r>
      <w:r w:rsidR="00A21D52" w:rsidRPr="00000F0F">
        <w:rPr>
          <w:rFonts w:ascii="Times New Roman" w:eastAsia="Batang" w:hAnsi="Times New Roman"/>
          <w:iCs/>
          <w:color w:val="0D0D0D" w:themeColor="text1" w:themeTint="F2"/>
          <w:sz w:val="24"/>
          <w:szCs w:val="24"/>
        </w:rPr>
        <w:t xml:space="preserve"> </w:t>
      </w:r>
      <w:r w:rsidRPr="00000F0F">
        <w:rPr>
          <w:rFonts w:ascii="Times New Roman" w:eastAsia="Batang" w:hAnsi="Times New Roman"/>
          <w:iCs/>
          <w:color w:val="0D0D0D" w:themeColor="text1" w:themeTint="F2"/>
          <w:sz w:val="24"/>
          <w:szCs w:val="24"/>
        </w:rPr>
        <w:t>lekë</w:t>
      </w:r>
    </w:p>
    <w:p w:rsidR="009A1190" w:rsidRPr="00000F0F" w:rsidRDefault="00A21D52" w:rsidP="00000F0F">
      <w:pPr>
        <w:pStyle w:val="ListParagraph"/>
        <w:numPr>
          <w:ilvl w:val="0"/>
          <w:numId w:val="4"/>
        </w:numPr>
        <w:jc w:val="both"/>
        <w:rPr>
          <w:rFonts w:ascii="Times New Roman" w:eastAsia="Batang" w:hAnsi="Times New Roman"/>
          <w:iCs/>
          <w:color w:val="0D0D0D" w:themeColor="text1" w:themeTint="F2"/>
          <w:sz w:val="24"/>
          <w:szCs w:val="24"/>
        </w:rPr>
      </w:pPr>
      <w:r w:rsidRPr="00000F0F">
        <w:rPr>
          <w:rFonts w:ascii="Times New Roman" w:eastAsia="Batang" w:hAnsi="Times New Roman"/>
          <w:iCs/>
          <w:color w:val="0D0D0D" w:themeColor="text1" w:themeTint="F2"/>
          <w:sz w:val="24"/>
          <w:szCs w:val="24"/>
        </w:rPr>
        <w:t xml:space="preserve">Shpenzime kapitale në vlerën  </w:t>
      </w:r>
      <w:r w:rsidR="005814B3" w:rsidRPr="00000F0F">
        <w:rPr>
          <w:rFonts w:ascii="Times New Roman" w:eastAsia="Batang" w:hAnsi="Times New Roman"/>
          <w:iCs/>
          <w:color w:val="0D0D0D" w:themeColor="text1" w:themeTint="F2"/>
          <w:sz w:val="24"/>
          <w:szCs w:val="24"/>
        </w:rPr>
        <w:t xml:space="preserve">24.422.871 </w:t>
      </w:r>
      <w:r w:rsidR="009A1190" w:rsidRPr="00000F0F">
        <w:rPr>
          <w:rFonts w:ascii="Times New Roman" w:eastAsia="Batang" w:hAnsi="Times New Roman"/>
          <w:iCs/>
          <w:color w:val="0D0D0D" w:themeColor="text1" w:themeTint="F2"/>
          <w:sz w:val="24"/>
          <w:szCs w:val="24"/>
        </w:rPr>
        <w:t xml:space="preserve"> lekë</w:t>
      </w:r>
    </w:p>
    <w:p w:rsidR="00186598" w:rsidRPr="00000F0F" w:rsidRDefault="00186598" w:rsidP="00000F0F">
      <w:pPr>
        <w:spacing w:line="276" w:lineRule="auto"/>
        <w:ind w:left="90"/>
        <w:jc w:val="both"/>
        <w:rPr>
          <w:color w:val="0D0D0D" w:themeColor="text1" w:themeTint="F2"/>
        </w:rPr>
      </w:pPr>
      <w:r w:rsidRPr="00000F0F">
        <w:rPr>
          <w:color w:val="0D0D0D" w:themeColor="text1" w:themeTint="F2"/>
        </w:rPr>
        <w:t xml:space="preserve">Një pjesë e tyre janë përdorur  për të mbuluar zhvillimin e aktiviteteve ndërgjegjësuese apo sigurimin e infrastrukturës së nevojshme për ushtrimin e veprimtarisë. </w:t>
      </w:r>
    </w:p>
    <w:p w:rsidR="00A708BD" w:rsidRPr="00000F0F" w:rsidRDefault="00A708BD" w:rsidP="00000F0F">
      <w:pPr>
        <w:spacing w:line="276" w:lineRule="auto"/>
        <w:jc w:val="both"/>
        <w:rPr>
          <w:color w:val="0D0D0D" w:themeColor="text1" w:themeTint="F2"/>
          <w:lang w:val="it-IT"/>
        </w:rPr>
      </w:pPr>
    </w:p>
    <w:p w:rsidR="00BC2353" w:rsidRPr="00000F0F" w:rsidRDefault="00BC2353" w:rsidP="00000F0F">
      <w:pPr>
        <w:pStyle w:val="ListParagraph"/>
        <w:numPr>
          <w:ilvl w:val="0"/>
          <w:numId w:val="7"/>
        </w:numPr>
        <w:spacing w:after="0"/>
        <w:jc w:val="both"/>
        <w:rPr>
          <w:rFonts w:ascii="Times New Roman" w:hAnsi="Times New Roman"/>
          <w:b/>
          <w:i/>
          <w:sz w:val="24"/>
          <w:szCs w:val="24"/>
          <w:u w:val="single"/>
          <w:lang w:val="it-IT"/>
        </w:rPr>
      </w:pPr>
      <w:r w:rsidRPr="00000F0F">
        <w:rPr>
          <w:rFonts w:ascii="Times New Roman" w:hAnsi="Times New Roman"/>
          <w:b/>
          <w:i/>
          <w:sz w:val="24"/>
          <w:szCs w:val="24"/>
          <w:u w:val="single"/>
          <w:lang w:val="it-IT"/>
        </w:rPr>
        <w:t>Realizimi i Treguesve ekonomiko-financiare</w:t>
      </w:r>
    </w:p>
    <w:p w:rsidR="00BC2353" w:rsidRPr="00000F0F" w:rsidRDefault="00BC2353" w:rsidP="00000F0F">
      <w:pPr>
        <w:spacing w:line="276" w:lineRule="auto"/>
        <w:rPr>
          <w:color w:val="0D0D0D" w:themeColor="text1" w:themeTint="F2"/>
        </w:rPr>
      </w:pPr>
      <w:r w:rsidRPr="00000F0F">
        <w:rPr>
          <w:lang w:val="it-IT"/>
        </w:rPr>
        <w:tab/>
      </w:r>
    </w:p>
    <w:p w:rsidR="00BC2353" w:rsidRPr="00000F0F" w:rsidRDefault="00BC2353" w:rsidP="00000F0F">
      <w:pPr>
        <w:pStyle w:val="Title"/>
        <w:spacing w:after="40" w:line="276" w:lineRule="auto"/>
        <w:jc w:val="both"/>
        <w:rPr>
          <w:rFonts w:ascii="Times New Roman"/>
          <w:color w:val="0D0D0D" w:themeColor="text1" w:themeTint="F2"/>
          <w:sz w:val="24"/>
          <w:szCs w:val="24"/>
        </w:rPr>
      </w:pPr>
      <w:r w:rsidRPr="00000F0F">
        <w:rPr>
          <w:rFonts w:ascii="Times New Roman"/>
          <w:color w:val="0D0D0D" w:themeColor="text1" w:themeTint="F2"/>
          <w:sz w:val="24"/>
          <w:szCs w:val="24"/>
        </w:rPr>
        <w:t>Zyra e Komisionerit ka ngritur sistemin e menaxhimit financiar dhe kontrollit, i cili është mbështetur në L</w:t>
      </w:r>
      <w:r w:rsidR="00441F14" w:rsidRPr="00000F0F">
        <w:rPr>
          <w:rFonts w:ascii="Times New Roman"/>
          <w:color w:val="0D0D0D" w:themeColor="text1" w:themeTint="F2"/>
          <w:sz w:val="24"/>
          <w:szCs w:val="24"/>
        </w:rPr>
        <w:t>igjin nr.10296, datë 8.07.2010 “</w:t>
      </w:r>
      <w:r w:rsidRPr="00000F0F">
        <w:rPr>
          <w:rFonts w:ascii="Times New Roman"/>
          <w:color w:val="0D0D0D" w:themeColor="text1" w:themeTint="F2"/>
          <w:sz w:val="24"/>
          <w:szCs w:val="24"/>
        </w:rPr>
        <w:t>Mbi menaxhimin financiar e kontrollin”, i ndryshuar si dhe në parimet e menaxhimit të fondeve publike me efektivitetet, transparencë, ekonomi dhe efi</w:t>
      </w:r>
      <w:r w:rsidR="00E7408C" w:rsidRPr="00000F0F">
        <w:rPr>
          <w:rFonts w:ascii="Times New Roman"/>
          <w:color w:val="0D0D0D" w:themeColor="text1" w:themeTint="F2"/>
          <w:sz w:val="24"/>
          <w:szCs w:val="24"/>
        </w:rPr>
        <w:t>ç</w:t>
      </w:r>
      <w:r w:rsidRPr="00000F0F">
        <w:rPr>
          <w:rFonts w:ascii="Times New Roman"/>
          <w:color w:val="0D0D0D" w:themeColor="text1" w:themeTint="F2"/>
          <w:sz w:val="24"/>
          <w:szCs w:val="24"/>
        </w:rPr>
        <w:t>ensë.</w:t>
      </w:r>
    </w:p>
    <w:p w:rsidR="00186598" w:rsidRPr="00000F0F" w:rsidRDefault="00186598" w:rsidP="00000F0F">
      <w:pPr>
        <w:spacing w:line="276" w:lineRule="auto"/>
        <w:jc w:val="both"/>
        <w:rPr>
          <w:color w:val="0D0D0D"/>
        </w:rPr>
      </w:pPr>
      <w:r w:rsidRPr="00000F0F">
        <w:rPr>
          <w:color w:val="0D0D0D"/>
        </w:rPr>
        <w:t xml:space="preserve">Në zbatim të ligjit nr. 115/2021 “Për buxhetin e vitit 2022” fondet e akorduara për Zyrën e Komisionerit, në total u miratuan në vlerën </w:t>
      </w:r>
      <w:r w:rsidRPr="00000F0F">
        <w:rPr>
          <w:bCs/>
          <w:iCs/>
          <w:color w:val="0D0D0D"/>
          <w:lang w:val="pt-BR"/>
        </w:rPr>
        <w:t>78.340</w:t>
      </w:r>
      <w:r w:rsidRPr="00000F0F">
        <w:rPr>
          <w:b/>
          <w:bCs/>
          <w:i/>
          <w:iCs/>
          <w:color w:val="0D0D0D"/>
          <w:lang w:val="pt-BR"/>
        </w:rPr>
        <w:t> </w:t>
      </w:r>
      <w:r w:rsidRPr="00000F0F">
        <w:rPr>
          <w:color w:val="0D0D0D"/>
        </w:rPr>
        <w:t xml:space="preserve">(mijë lekë). Me ndryshimet gjatë vitit buxheti përfundimtar shkoi në vlerën </w:t>
      </w:r>
      <w:r w:rsidRPr="00000F0F">
        <w:rPr>
          <w:b/>
          <w:bCs/>
          <w:color w:val="000000"/>
        </w:rPr>
        <w:t>79.252</w:t>
      </w:r>
      <w:r w:rsidRPr="00000F0F">
        <w:rPr>
          <w:color w:val="000000"/>
        </w:rPr>
        <w:t xml:space="preserve"> (mijë lekë). </w:t>
      </w:r>
      <w:r w:rsidRPr="00000F0F">
        <w:rPr>
          <w:color w:val="0D0D0D"/>
        </w:rPr>
        <w:t xml:space="preserve">Realizimi faktik i buxhetit është në vlerën </w:t>
      </w:r>
      <w:r w:rsidRPr="00000F0F">
        <w:rPr>
          <w:b/>
          <w:bCs/>
          <w:color w:val="000000"/>
        </w:rPr>
        <w:t>78.282</w:t>
      </w:r>
      <w:r w:rsidRPr="00000F0F">
        <w:rPr>
          <w:color w:val="0D0D0D"/>
        </w:rPr>
        <w:t xml:space="preserve"> (mijë lekë) ose në nivelin </w:t>
      </w:r>
      <w:r w:rsidRPr="00000F0F">
        <w:rPr>
          <w:b/>
          <w:color w:val="0D0D0D"/>
        </w:rPr>
        <w:t>98.7%.</w:t>
      </w:r>
    </w:p>
    <w:p w:rsidR="00186598" w:rsidRPr="00000F0F" w:rsidRDefault="00186598" w:rsidP="00000F0F">
      <w:pPr>
        <w:spacing w:line="276" w:lineRule="auto"/>
        <w:jc w:val="both"/>
        <w:rPr>
          <w:color w:val="080808"/>
        </w:rPr>
      </w:pPr>
    </w:p>
    <w:p w:rsidR="00CC728C" w:rsidRPr="00000F0F" w:rsidRDefault="007D177F" w:rsidP="00000F0F">
      <w:pPr>
        <w:spacing w:line="276" w:lineRule="auto"/>
        <w:jc w:val="both"/>
        <w:rPr>
          <w:color w:val="0D0D0D" w:themeColor="text1" w:themeTint="F2"/>
        </w:rPr>
      </w:pPr>
      <w:r w:rsidRPr="00000F0F">
        <w:rPr>
          <w:color w:val="080808"/>
        </w:rPr>
        <w:t xml:space="preserve">Tabela </w:t>
      </w:r>
      <w:r w:rsidR="00E7408C" w:rsidRPr="00000F0F">
        <w:rPr>
          <w:color w:val="080808"/>
        </w:rPr>
        <w:t>e mëposhtme</w:t>
      </w:r>
      <w:r w:rsidR="005814B3" w:rsidRPr="00000F0F">
        <w:rPr>
          <w:color w:val="080808"/>
        </w:rPr>
        <w:t xml:space="preserve"> </w:t>
      </w:r>
      <w:r w:rsidR="00CC728C" w:rsidRPr="00000F0F">
        <w:rPr>
          <w:color w:val="0D0D0D" w:themeColor="text1" w:themeTint="F2"/>
        </w:rPr>
        <w:t>pasqyro</w:t>
      </w:r>
      <w:r w:rsidR="005814B3" w:rsidRPr="00000F0F">
        <w:rPr>
          <w:color w:val="0D0D0D" w:themeColor="text1" w:themeTint="F2"/>
        </w:rPr>
        <w:t xml:space="preserve">n </w:t>
      </w:r>
      <w:r w:rsidR="00CC728C" w:rsidRPr="00000F0F">
        <w:rPr>
          <w:color w:val="0D0D0D" w:themeColor="text1" w:themeTint="F2"/>
        </w:rPr>
        <w:t>në %, çdo kategori shpenzimesh, përkundrejt totalit të buxhetit, si dhe realizimi në % dhe vlerë, i secilës kategori shpenzimesh, përkundrejt buxhetit të akorduar.</w:t>
      </w:r>
    </w:p>
    <w:p w:rsidR="00CC728C" w:rsidRPr="00000F0F" w:rsidRDefault="00CC728C" w:rsidP="00000F0F">
      <w:pPr>
        <w:spacing w:line="276" w:lineRule="auto"/>
        <w:jc w:val="both"/>
        <w:rPr>
          <w:rFonts w:eastAsia="Batang"/>
          <w:lang w:val="it-IT"/>
        </w:rPr>
      </w:pPr>
      <w:r w:rsidRPr="00000F0F">
        <w:rPr>
          <w:b/>
        </w:rPr>
        <w:t xml:space="preserve"> </w:t>
      </w:r>
    </w:p>
    <w:p w:rsidR="00186598" w:rsidRPr="00000F0F" w:rsidRDefault="00186598" w:rsidP="00000F0F">
      <w:pPr>
        <w:pStyle w:val="BodyText3"/>
        <w:numPr>
          <w:ilvl w:val="0"/>
          <w:numId w:val="6"/>
        </w:numPr>
        <w:spacing w:line="276" w:lineRule="auto"/>
        <w:jc w:val="center"/>
        <w:rPr>
          <w:rFonts w:ascii="Times New Roman" w:hAnsi="Times New Roman"/>
          <w:b/>
          <w:bCs/>
          <w:sz w:val="24"/>
          <w:szCs w:val="24"/>
        </w:rPr>
      </w:pPr>
      <w:r w:rsidRPr="00000F0F">
        <w:rPr>
          <w:rFonts w:ascii="Times New Roman" w:hAnsi="Times New Roman"/>
          <w:b/>
          <w:bCs/>
          <w:sz w:val="24"/>
          <w:szCs w:val="24"/>
        </w:rPr>
        <w:t xml:space="preserve">BUXHETI DHE REALIZIMI </w:t>
      </w:r>
    </w:p>
    <w:p w:rsidR="00186598" w:rsidRPr="00000F0F" w:rsidRDefault="00186598" w:rsidP="00000F0F">
      <w:pPr>
        <w:pStyle w:val="BodyText3"/>
        <w:numPr>
          <w:ilvl w:val="0"/>
          <w:numId w:val="6"/>
        </w:numPr>
        <w:spacing w:line="276" w:lineRule="auto"/>
        <w:jc w:val="center"/>
        <w:rPr>
          <w:rFonts w:ascii="Times New Roman" w:hAnsi="Times New Roman"/>
          <w:b/>
          <w:bCs/>
          <w:sz w:val="24"/>
          <w:szCs w:val="24"/>
        </w:rPr>
      </w:pPr>
      <w:r w:rsidRPr="00000F0F">
        <w:rPr>
          <w:rFonts w:ascii="Times New Roman" w:hAnsi="Times New Roman"/>
          <w:b/>
          <w:bCs/>
          <w:sz w:val="24"/>
          <w:szCs w:val="24"/>
        </w:rPr>
        <w:t xml:space="preserve">                                                </w:t>
      </w:r>
      <w:r w:rsidRPr="00000F0F">
        <w:rPr>
          <w:rFonts w:ascii="Times New Roman" w:hAnsi="Times New Roman"/>
          <w:sz w:val="24"/>
          <w:szCs w:val="24"/>
        </w:rPr>
        <w:t xml:space="preserve">                                   </w:t>
      </w:r>
      <w:r w:rsidRPr="00000F0F">
        <w:rPr>
          <w:rFonts w:ascii="Times New Roman" w:hAnsi="Times New Roman"/>
          <w:b/>
          <w:bCs/>
          <w:sz w:val="24"/>
          <w:szCs w:val="24"/>
        </w:rPr>
        <w:t>000/lekë</w:t>
      </w:r>
    </w:p>
    <w:tbl>
      <w:tblPr>
        <w:tblW w:w="9180" w:type="dxa"/>
        <w:tblCellMar>
          <w:left w:w="0" w:type="dxa"/>
          <w:right w:w="0" w:type="dxa"/>
        </w:tblCellMar>
        <w:tblLook w:val="04A0" w:firstRow="1" w:lastRow="0" w:firstColumn="1" w:lastColumn="0" w:noHBand="0" w:noVBand="1"/>
      </w:tblPr>
      <w:tblGrid>
        <w:gridCol w:w="720"/>
        <w:gridCol w:w="1824"/>
        <w:gridCol w:w="1989"/>
        <w:gridCol w:w="1419"/>
        <w:gridCol w:w="1560"/>
        <w:gridCol w:w="1668"/>
      </w:tblGrid>
      <w:tr w:rsidR="00186598" w:rsidRPr="00000F0F" w:rsidTr="00D133F4">
        <w:trPr>
          <w:trHeight w:val="1176"/>
        </w:trPr>
        <w:tc>
          <w:tcPr>
            <w:tcW w:w="720" w:type="dxa"/>
            <w:tcBorders>
              <w:top w:val="single" w:sz="8" w:space="0" w:color="FFE599"/>
              <w:left w:val="single" w:sz="8" w:space="0" w:color="FFE599"/>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ind w:left="-15" w:firstLine="15"/>
              <w:jc w:val="both"/>
              <w:rPr>
                <w:rFonts w:ascii="Times New Roman" w:hAnsi="Times New Roman"/>
                <w:color w:val="000000"/>
                <w:sz w:val="24"/>
                <w:szCs w:val="24"/>
              </w:rPr>
            </w:pPr>
            <w:r w:rsidRPr="00000F0F">
              <w:rPr>
                <w:rFonts w:ascii="Times New Roman" w:hAnsi="Times New Roman"/>
                <w:color w:val="000000"/>
                <w:sz w:val="24"/>
                <w:szCs w:val="24"/>
              </w:rPr>
              <w:t>Nr.</w:t>
            </w:r>
          </w:p>
        </w:tc>
        <w:tc>
          <w:tcPr>
            <w:tcW w:w="1823" w:type="dxa"/>
            <w:tcBorders>
              <w:top w:val="single" w:sz="8" w:space="0" w:color="FFE599"/>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Emërtimi</w:t>
            </w:r>
          </w:p>
        </w:tc>
        <w:tc>
          <w:tcPr>
            <w:tcW w:w="1988" w:type="dxa"/>
            <w:tcBorders>
              <w:top w:val="single" w:sz="8" w:space="0" w:color="FFE599"/>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 xml:space="preserve">Plan vjetor 2022 </w:t>
            </w:r>
          </w:p>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 xml:space="preserve">(i ndryshuar) </w:t>
            </w:r>
          </w:p>
        </w:tc>
        <w:tc>
          <w:tcPr>
            <w:tcW w:w="1418" w:type="dxa"/>
            <w:tcBorders>
              <w:top w:val="single" w:sz="8" w:space="0" w:color="FFE599"/>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 xml:space="preserve">Struktura </w:t>
            </w:r>
          </w:p>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 xml:space="preserve">në % </w:t>
            </w:r>
          </w:p>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kundrejt totalit</w:t>
            </w:r>
          </w:p>
        </w:tc>
        <w:tc>
          <w:tcPr>
            <w:tcW w:w="1559" w:type="dxa"/>
            <w:tcBorders>
              <w:top w:val="single" w:sz="8" w:space="0" w:color="FFE599"/>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 xml:space="preserve">Fakti vjetor  </w:t>
            </w:r>
          </w:p>
        </w:tc>
        <w:tc>
          <w:tcPr>
            <w:tcW w:w="1667" w:type="dxa"/>
            <w:tcBorders>
              <w:top w:val="single" w:sz="8" w:space="0" w:color="FFE599"/>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 realizimi kundrejt planit  vjetor për kategori</w:t>
            </w:r>
          </w:p>
        </w:tc>
      </w:tr>
      <w:tr w:rsidR="00186598" w:rsidRPr="00000F0F" w:rsidTr="00D133F4">
        <w:tc>
          <w:tcPr>
            <w:tcW w:w="720" w:type="dxa"/>
            <w:tcBorders>
              <w:top w:val="nil"/>
              <w:left w:val="single" w:sz="8" w:space="0" w:color="FFE599"/>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b/>
                <w:bCs/>
                <w:color w:val="000000"/>
                <w:sz w:val="24"/>
                <w:szCs w:val="24"/>
              </w:rPr>
              <w:lastRenderedPageBreak/>
              <w:t>1</w:t>
            </w:r>
          </w:p>
        </w:tc>
        <w:tc>
          <w:tcPr>
            <w:tcW w:w="1823"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rPr>
                <w:rFonts w:ascii="Times New Roman" w:hAnsi="Times New Roman"/>
                <w:color w:val="000000"/>
                <w:sz w:val="24"/>
                <w:szCs w:val="24"/>
              </w:rPr>
            </w:pPr>
            <w:r w:rsidRPr="00000F0F">
              <w:rPr>
                <w:rFonts w:ascii="Times New Roman" w:hAnsi="Times New Roman"/>
                <w:color w:val="000000"/>
                <w:sz w:val="24"/>
                <w:szCs w:val="24"/>
              </w:rPr>
              <w:t>Paga</w:t>
            </w:r>
          </w:p>
        </w:tc>
        <w:tc>
          <w:tcPr>
            <w:tcW w:w="198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rPr>
                <w:lang w:val="en-US"/>
              </w:rPr>
            </w:pPr>
            <w:r w:rsidRPr="00000F0F">
              <w:t>47.402</w:t>
            </w:r>
          </w:p>
        </w:tc>
        <w:tc>
          <w:tcPr>
            <w:tcW w:w="141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60%</w:t>
            </w:r>
          </w:p>
        </w:tc>
        <w:tc>
          <w:tcPr>
            <w:tcW w:w="1559"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 xml:space="preserve">47.017 </w:t>
            </w:r>
          </w:p>
        </w:tc>
        <w:tc>
          <w:tcPr>
            <w:tcW w:w="1667"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99%</w:t>
            </w:r>
          </w:p>
        </w:tc>
      </w:tr>
      <w:tr w:rsidR="00186598" w:rsidRPr="00000F0F" w:rsidTr="00D133F4">
        <w:trPr>
          <w:trHeight w:val="953"/>
        </w:trPr>
        <w:tc>
          <w:tcPr>
            <w:tcW w:w="720" w:type="dxa"/>
            <w:tcBorders>
              <w:top w:val="nil"/>
              <w:left w:val="single" w:sz="8" w:space="0" w:color="FFE599"/>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00000"/>
                <w:sz w:val="24"/>
                <w:szCs w:val="24"/>
              </w:rPr>
            </w:pPr>
            <w:r w:rsidRPr="00000F0F">
              <w:rPr>
                <w:rFonts w:ascii="Times New Roman" w:hAnsi="Times New Roman"/>
                <w:b/>
                <w:bCs/>
                <w:color w:val="000000"/>
                <w:sz w:val="24"/>
                <w:szCs w:val="24"/>
              </w:rPr>
              <w:t>2</w:t>
            </w:r>
          </w:p>
        </w:tc>
        <w:tc>
          <w:tcPr>
            <w:tcW w:w="1823"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rPr>
                <w:rFonts w:ascii="Times New Roman" w:hAnsi="Times New Roman"/>
                <w:color w:val="000000"/>
                <w:sz w:val="24"/>
                <w:szCs w:val="24"/>
              </w:rPr>
            </w:pPr>
            <w:r w:rsidRPr="00000F0F">
              <w:rPr>
                <w:rFonts w:ascii="Times New Roman" w:hAnsi="Times New Roman"/>
                <w:color w:val="000000"/>
                <w:sz w:val="24"/>
                <w:szCs w:val="24"/>
              </w:rPr>
              <w:t>Sigurime shoqërore</w:t>
            </w:r>
          </w:p>
        </w:tc>
        <w:tc>
          <w:tcPr>
            <w:tcW w:w="198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rPr>
                <w:lang w:val="en-US"/>
              </w:rPr>
            </w:pPr>
            <w:r w:rsidRPr="00000F0F">
              <w:t>8.092</w:t>
            </w:r>
          </w:p>
        </w:tc>
        <w:tc>
          <w:tcPr>
            <w:tcW w:w="141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10.3%</w:t>
            </w:r>
          </w:p>
        </w:tc>
        <w:tc>
          <w:tcPr>
            <w:tcW w:w="1559"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7.785</w:t>
            </w:r>
          </w:p>
        </w:tc>
        <w:tc>
          <w:tcPr>
            <w:tcW w:w="1667"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ind w:left="-135"/>
              <w:jc w:val="both"/>
            </w:pPr>
            <w:r w:rsidRPr="00000F0F">
              <w:t>  96%</w:t>
            </w:r>
          </w:p>
        </w:tc>
      </w:tr>
      <w:tr w:rsidR="00186598" w:rsidRPr="00000F0F" w:rsidTr="00D133F4">
        <w:tc>
          <w:tcPr>
            <w:tcW w:w="720" w:type="dxa"/>
            <w:tcBorders>
              <w:top w:val="nil"/>
              <w:left w:val="single" w:sz="8" w:space="0" w:color="FFE599"/>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00000"/>
                <w:sz w:val="24"/>
                <w:szCs w:val="24"/>
              </w:rPr>
            </w:pPr>
            <w:r w:rsidRPr="00000F0F">
              <w:rPr>
                <w:rFonts w:ascii="Times New Roman" w:hAnsi="Times New Roman"/>
                <w:b/>
                <w:bCs/>
                <w:color w:val="000000"/>
                <w:sz w:val="24"/>
                <w:szCs w:val="24"/>
              </w:rPr>
              <w:t>3</w:t>
            </w:r>
          </w:p>
        </w:tc>
        <w:tc>
          <w:tcPr>
            <w:tcW w:w="1823"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rPr>
                <w:rFonts w:ascii="Times New Roman" w:hAnsi="Times New Roman"/>
                <w:color w:val="000000"/>
                <w:sz w:val="24"/>
                <w:szCs w:val="24"/>
              </w:rPr>
            </w:pPr>
            <w:r w:rsidRPr="00000F0F">
              <w:rPr>
                <w:rFonts w:ascii="Times New Roman" w:hAnsi="Times New Roman"/>
                <w:color w:val="000000"/>
                <w:sz w:val="24"/>
                <w:szCs w:val="24"/>
              </w:rPr>
              <w:t>Mallra e shërbime të tjera</w:t>
            </w:r>
          </w:p>
        </w:tc>
        <w:tc>
          <w:tcPr>
            <w:tcW w:w="198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rPr>
                <w:lang w:val="en-US"/>
              </w:rPr>
            </w:pPr>
            <w:r w:rsidRPr="00000F0F">
              <w:t>18.128</w:t>
            </w:r>
          </w:p>
        </w:tc>
        <w:tc>
          <w:tcPr>
            <w:tcW w:w="141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23%</w:t>
            </w:r>
          </w:p>
        </w:tc>
        <w:tc>
          <w:tcPr>
            <w:tcW w:w="1559"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 xml:space="preserve">18.084 </w:t>
            </w:r>
          </w:p>
        </w:tc>
        <w:tc>
          <w:tcPr>
            <w:tcW w:w="1667"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99.7%</w:t>
            </w:r>
          </w:p>
        </w:tc>
      </w:tr>
      <w:tr w:rsidR="00186598" w:rsidRPr="00000F0F" w:rsidTr="00D133F4">
        <w:tc>
          <w:tcPr>
            <w:tcW w:w="720" w:type="dxa"/>
            <w:tcBorders>
              <w:top w:val="nil"/>
              <w:left w:val="single" w:sz="8" w:space="0" w:color="FFE599"/>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00000"/>
                <w:sz w:val="24"/>
                <w:szCs w:val="24"/>
              </w:rPr>
            </w:pPr>
            <w:r w:rsidRPr="00000F0F">
              <w:rPr>
                <w:rFonts w:ascii="Times New Roman" w:hAnsi="Times New Roman"/>
                <w:b/>
                <w:bCs/>
                <w:color w:val="000000"/>
                <w:sz w:val="24"/>
                <w:szCs w:val="24"/>
              </w:rPr>
              <w:t>4</w:t>
            </w:r>
          </w:p>
        </w:tc>
        <w:tc>
          <w:tcPr>
            <w:tcW w:w="1823"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rPr>
                <w:rFonts w:ascii="Times New Roman" w:hAnsi="Times New Roman"/>
                <w:color w:val="000000"/>
                <w:sz w:val="24"/>
                <w:szCs w:val="24"/>
              </w:rPr>
            </w:pPr>
            <w:r w:rsidRPr="00000F0F">
              <w:rPr>
                <w:rFonts w:ascii="Times New Roman" w:hAnsi="Times New Roman"/>
                <w:color w:val="000000"/>
                <w:sz w:val="24"/>
                <w:szCs w:val="24"/>
              </w:rPr>
              <w:t>Investime</w:t>
            </w:r>
          </w:p>
        </w:tc>
        <w:tc>
          <w:tcPr>
            <w:tcW w:w="198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rPr>
                <w:lang w:val="en-US"/>
              </w:rPr>
            </w:pPr>
            <w:r w:rsidRPr="00000F0F">
              <w:t>4.500</w:t>
            </w:r>
          </w:p>
        </w:tc>
        <w:tc>
          <w:tcPr>
            <w:tcW w:w="141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5.7%</w:t>
            </w:r>
          </w:p>
        </w:tc>
        <w:tc>
          <w:tcPr>
            <w:tcW w:w="1559"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4.412</w:t>
            </w:r>
          </w:p>
        </w:tc>
        <w:tc>
          <w:tcPr>
            <w:tcW w:w="1667"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98%</w:t>
            </w:r>
          </w:p>
        </w:tc>
      </w:tr>
      <w:tr w:rsidR="00186598" w:rsidRPr="00000F0F" w:rsidTr="00D133F4">
        <w:tc>
          <w:tcPr>
            <w:tcW w:w="720" w:type="dxa"/>
            <w:tcBorders>
              <w:top w:val="nil"/>
              <w:left w:val="single" w:sz="8" w:space="0" w:color="FFE599"/>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00000"/>
                <w:sz w:val="24"/>
                <w:szCs w:val="24"/>
              </w:rPr>
            </w:pPr>
            <w:r w:rsidRPr="00000F0F">
              <w:rPr>
                <w:rFonts w:ascii="Times New Roman" w:hAnsi="Times New Roman"/>
                <w:b/>
                <w:bCs/>
                <w:color w:val="000000"/>
                <w:sz w:val="24"/>
                <w:szCs w:val="24"/>
              </w:rPr>
              <w:t>5</w:t>
            </w:r>
          </w:p>
        </w:tc>
        <w:tc>
          <w:tcPr>
            <w:tcW w:w="1823"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rPr>
                <w:rFonts w:ascii="Times New Roman" w:hAnsi="Times New Roman"/>
                <w:color w:val="000000"/>
                <w:sz w:val="24"/>
                <w:szCs w:val="24"/>
              </w:rPr>
            </w:pPr>
            <w:r w:rsidRPr="00000F0F">
              <w:rPr>
                <w:rFonts w:ascii="Times New Roman" w:hAnsi="Times New Roman"/>
                <w:color w:val="000000"/>
                <w:sz w:val="24"/>
                <w:szCs w:val="24"/>
              </w:rPr>
              <w:t xml:space="preserve">Transferta te buxhetet familjare  </w:t>
            </w:r>
          </w:p>
        </w:tc>
        <w:tc>
          <w:tcPr>
            <w:tcW w:w="198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rPr>
                <w:lang w:val="en-US"/>
              </w:rPr>
            </w:pPr>
            <w:r w:rsidRPr="00000F0F">
              <w:t>240</w:t>
            </w:r>
          </w:p>
        </w:tc>
        <w:tc>
          <w:tcPr>
            <w:tcW w:w="141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0.3%</w:t>
            </w:r>
          </w:p>
        </w:tc>
        <w:tc>
          <w:tcPr>
            <w:tcW w:w="1559"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240</w:t>
            </w:r>
          </w:p>
        </w:tc>
        <w:tc>
          <w:tcPr>
            <w:tcW w:w="1667"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100%</w:t>
            </w:r>
          </w:p>
        </w:tc>
      </w:tr>
      <w:tr w:rsidR="00186598" w:rsidRPr="00000F0F" w:rsidTr="00D133F4">
        <w:tc>
          <w:tcPr>
            <w:tcW w:w="720" w:type="dxa"/>
            <w:tcBorders>
              <w:top w:val="nil"/>
              <w:left w:val="single" w:sz="8" w:space="0" w:color="FFE599"/>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00000"/>
                <w:sz w:val="24"/>
                <w:szCs w:val="24"/>
              </w:rPr>
            </w:pPr>
            <w:r w:rsidRPr="00000F0F">
              <w:rPr>
                <w:rFonts w:ascii="Times New Roman" w:hAnsi="Times New Roman"/>
                <w:b/>
                <w:bCs/>
                <w:color w:val="000000"/>
                <w:sz w:val="24"/>
                <w:szCs w:val="24"/>
              </w:rPr>
              <w:t>6</w:t>
            </w:r>
          </w:p>
        </w:tc>
        <w:tc>
          <w:tcPr>
            <w:tcW w:w="1823"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rPr>
                <w:rFonts w:ascii="Times New Roman" w:hAnsi="Times New Roman"/>
                <w:color w:val="000000"/>
                <w:sz w:val="24"/>
                <w:szCs w:val="24"/>
              </w:rPr>
            </w:pPr>
            <w:r w:rsidRPr="00000F0F">
              <w:rPr>
                <w:rFonts w:ascii="Times New Roman" w:hAnsi="Times New Roman"/>
                <w:color w:val="000000"/>
                <w:sz w:val="24"/>
                <w:szCs w:val="24"/>
              </w:rPr>
              <w:t xml:space="preserve">Kuotizacione </w:t>
            </w:r>
          </w:p>
        </w:tc>
        <w:tc>
          <w:tcPr>
            <w:tcW w:w="198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rPr>
                <w:lang w:val="en-US"/>
              </w:rPr>
            </w:pPr>
            <w:r w:rsidRPr="00000F0F">
              <w:t>100</w:t>
            </w:r>
          </w:p>
        </w:tc>
        <w:tc>
          <w:tcPr>
            <w:tcW w:w="141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0.01%</w:t>
            </w:r>
          </w:p>
        </w:tc>
        <w:tc>
          <w:tcPr>
            <w:tcW w:w="1559"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74</w:t>
            </w:r>
          </w:p>
        </w:tc>
        <w:tc>
          <w:tcPr>
            <w:tcW w:w="1667"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spacing w:line="276" w:lineRule="auto"/>
              <w:jc w:val="both"/>
            </w:pPr>
            <w:r w:rsidRPr="00000F0F">
              <w:t>74%</w:t>
            </w:r>
          </w:p>
        </w:tc>
      </w:tr>
      <w:tr w:rsidR="00186598" w:rsidRPr="00000F0F" w:rsidTr="00D133F4">
        <w:tc>
          <w:tcPr>
            <w:tcW w:w="720" w:type="dxa"/>
            <w:tcBorders>
              <w:top w:val="nil"/>
              <w:left w:val="single" w:sz="8" w:space="0" w:color="FFE599"/>
              <w:bottom w:val="single" w:sz="8" w:space="0" w:color="FFE599"/>
              <w:right w:val="single" w:sz="8" w:space="0" w:color="FFE599"/>
            </w:tcBorders>
            <w:tcMar>
              <w:top w:w="0" w:type="dxa"/>
              <w:left w:w="108" w:type="dxa"/>
              <w:bottom w:w="0" w:type="dxa"/>
              <w:right w:w="108" w:type="dxa"/>
            </w:tcMar>
          </w:tcPr>
          <w:p w:rsidR="00186598" w:rsidRPr="00000F0F" w:rsidRDefault="00186598" w:rsidP="00000F0F">
            <w:pPr>
              <w:pStyle w:val="BodyText3"/>
              <w:spacing w:line="276" w:lineRule="auto"/>
              <w:jc w:val="both"/>
              <w:rPr>
                <w:rFonts w:ascii="Times New Roman" w:hAnsi="Times New Roman"/>
                <w:b/>
                <w:bCs/>
                <w:color w:val="000000"/>
                <w:sz w:val="24"/>
                <w:szCs w:val="24"/>
              </w:rPr>
            </w:pPr>
          </w:p>
        </w:tc>
        <w:tc>
          <w:tcPr>
            <w:tcW w:w="1823" w:type="dxa"/>
            <w:tcBorders>
              <w:top w:val="nil"/>
              <w:left w:val="nil"/>
              <w:bottom w:val="single" w:sz="8" w:space="0" w:color="FFE599"/>
              <w:right w:val="single" w:sz="8" w:space="0" w:color="FFE599"/>
            </w:tcBorders>
            <w:tcMar>
              <w:top w:w="0" w:type="dxa"/>
              <w:left w:w="108" w:type="dxa"/>
              <w:bottom w:w="0" w:type="dxa"/>
              <w:right w:w="108" w:type="dxa"/>
            </w:tcMar>
          </w:tcPr>
          <w:p w:rsidR="00186598" w:rsidRPr="00000F0F" w:rsidRDefault="00186598" w:rsidP="00000F0F">
            <w:pPr>
              <w:pStyle w:val="BodyText3"/>
              <w:spacing w:line="276" w:lineRule="auto"/>
              <w:rPr>
                <w:rFonts w:ascii="Times New Roman" w:hAnsi="Times New Roman"/>
                <w:b/>
                <w:bCs/>
                <w:color w:val="000000"/>
                <w:sz w:val="24"/>
                <w:szCs w:val="24"/>
              </w:rPr>
            </w:pPr>
          </w:p>
        </w:tc>
        <w:tc>
          <w:tcPr>
            <w:tcW w:w="198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D0D0D" w:themeColor="text1" w:themeTint="F2"/>
                <w:sz w:val="24"/>
                <w:szCs w:val="24"/>
              </w:rPr>
            </w:pPr>
            <w:r w:rsidRPr="00000F0F">
              <w:rPr>
                <w:rFonts w:ascii="Times New Roman" w:hAnsi="Times New Roman"/>
                <w:b/>
                <w:bCs/>
                <w:color w:val="0D0D0D" w:themeColor="text1" w:themeTint="F2"/>
                <w:sz w:val="24"/>
                <w:szCs w:val="24"/>
              </w:rPr>
              <w:t>78.462</w:t>
            </w:r>
          </w:p>
        </w:tc>
        <w:tc>
          <w:tcPr>
            <w:tcW w:w="1418" w:type="dxa"/>
            <w:tcBorders>
              <w:top w:val="nil"/>
              <w:left w:val="nil"/>
              <w:bottom w:val="single" w:sz="8" w:space="0" w:color="FFE599"/>
              <w:right w:val="single" w:sz="8" w:space="0" w:color="FFE599"/>
            </w:tcBorders>
            <w:tcMar>
              <w:top w:w="0" w:type="dxa"/>
              <w:left w:w="108" w:type="dxa"/>
              <w:bottom w:w="0" w:type="dxa"/>
              <w:right w:w="108" w:type="dxa"/>
            </w:tcMar>
          </w:tcPr>
          <w:p w:rsidR="00186598" w:rsidRPr="00000F0F" w:rsidRDefault="00186598" w:rsidP="00000F0F">
            <w:pPr>
              <w:pStyle w:val="BodyText3"/>
              <w:spacing w:line="276" w:lineRule="auto"/>
              <w:jc w:val="both"/>
              <w:rPr>
                <w:rFonts w:ascii="Times New Roman" w:hAnsi="Times New Roman"/>
                <w:b/>
                <w:bCs/>
                <w:color w:val="0D0D0D" w:themeColor="text1" w:themeTint="F2"/>
                <w:sz w:val="24"/>
                <w:szCs w:val="24"/>
              </w:rPr>
            </w:pPr>
          </w:p>
        </w:tc>
        <w:tc>
          <w:tcPr>
            <w:tcW w:w="1559"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D0D0D" w:themeColor="text1" w:themeTint="F2"/>
                <w:sz w:val="24"/>
                <w:szCs w:val="24"/>
              </w:rPr>
            </w:pPr>
            <w:bookmarkStart w:id="0" w:name="_GoBack"/>
            <w:r w:rsidRPr="00000F0F">
              <w:rPr>
                <w:rFonts w:ascii="Times New Roman" w:hAnsi="Times New Roman"/>
                <w:b/>
                <w:bCs/>
                <w:color w:val="0D0D0D" w:themeColor="text1" w:themeTint="F2"/>
                <w:sz w:val="24"/>
                <w:szCs w:val="24"/>
              </w:rPr>
              <w:t>77.612</w:t>
            </w:r>
            <w:bookmarkEnd w:id="0"/>
          </w:p>
        </w:tc>
        <w:tc>
          <w:tcPr>
            <w:tcW w:w="1667"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D0D0D" w:themeColor="text1" w:themeTint="F2"/>
                <w:sz w:val="24"/>
                <w:szCs w:val="24"/>
              </w:rPr>
            </w:pPr>
            <w:r w:rsidRPr="00000F0F">
              <w:rPr>
                <w:rFonts w:ascii="Times New Roman" w:hAnsi="Times New Roman"/>
                <w:b/>
                <w:bCs/>
                <w:color w:val="0D0D0D" w:themeColor="text1" w:themeTint="F2"/>
                <w:sz w:val="24"/>
                <w:szCs w:val="24"/>
              </w:rPr>
              <w:t xml:space="preserve">99% </w:t>
            </w:r>
          </w:p>
        </w:tc>
      </w:tr>
      <w:tr w:rsidR="00186598" w:rsidRPr="00000F0F" w:rsidTr="00D133F4">
        <w:trPr>
          <w:trHeight w:val="570"/>
        </w:trPr>
        <w:tc>
          <w:tcPr>
            <w:tcW w:w="720" w:type="dxa"/>
            <w:tcBorders>
              <w:top w:val="nil"/>
              <w:left w:val="single" w:sz="8" w:space="0" w:color="FFE599"/>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b/>
                <w:bCs/>
                <w:color w:val="000000"/>
                <w:sz w:val="24"/>
                <w:szCs w:val="24"/>
              </w:rPr>
              <w:t>7</w:t>
            </w:r>
          </w:p>
        </w:tc>
        <w:tc>
          <w:tcPr>
            <w:tcW w:w="1823"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rPr>
                <w:rFonts w:ascii="Times New Roman" w:hAnsi="Times New Roman"/>
                <w:color w:val="000000"/>
                <w:sz w:val="24"/>
                <w:szCs w:val="24"/>
              </w:rPr>
            </w:pPr>
            <w:r w:rsidRPr="00000F0F">
              <w:rPr>
                <w:rFonts w:ascii="Times New Roman" w:hAnsi="Times New Roman"/>
                <w:color w:val="000000"/>
                <w:sz w:val="24"/>
                <w:szCs w:val="24"/>
              </w:rPr>
              <w:t xml:space="preserve">Fondi i veçantë </w:t>
            </w:r>
          </w:p>
        </w:tc>
        <w:tc>
          <w:tcPr>
            <w:tcW w:w="198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790</w:t>
            </w:r>
          </w:p>
        </w:tc>
        <w:tc>
          <w:tcPr>
            <w:tcW w:w="141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0.3%</w:t>
            </w:r>
          </w:p>
        </w:tc>
        <w:tc>
          <w:tcPr>
            <w:tcW w:w="1559"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670</w:t>
            </w:r>
          </w:p>
        </w:tc>
        <w:tc>
          <w:tcPr>
            <w:tcW w:w="1667"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color w:val="000000"/>
                <w:sz w:val="24"/>
                <w:szCs w:val="24"/>
              </w:rPr>
            </w:pPr>
            <w:r w:rsidRPr="00000F0F">
              <w:rPr>
                <w:rFonts w:ascii="Times New Roman" w:hAnsi="Times New Roman"/>
                <w:color w:val="000000"/>
                <w:sz w:val="24"/>
                <w:szCs w:val="24"/>
              </w:rPr>
              <w:t>85%</w:t>
            </w:r>
          </w:p>
        </w:tc>
      </w:tr>
      <w:tr w:rsidR="00186598" w:rsidRPr="00000F0F" w:rsidTr="00D133F4">
        <w:trPr>
          <w:trHeight w:val="399"/>
        </w:trPr>
        <w:tc>
          <w:tcPr>
            <w:tcW w:w="720" w:type="dxa"/>
            <w:tcBorders>
              <w:top w:val="nil"/>
              <w:left w:val="single" w:sz="8" w:space="0" w:color="FFE599"/>
              <w:bottom w:val="single" w:sz="8" w:space="0" w:color="FFE599"/>
              <w:right w:val="single" w:sz="8" w:space="0" w:color="FFE599"/>
            </w:tcBorders>
            <w:tcMar>
              <w:top w:w="0" w:type="dxa"/>
              <w:left w:w="108" w:type="dxa"/>
              <w:bottom w:w="0" w:type="dxa"/>
              <w:right w:w="108" w:type="dxa"/>
            </w:tcMar>
          </w:tcPr>
          <w:p w:rsidR="00186598" w:rsidRPr="00000F0F" w:rsidRDefault="00186598" w:rsidP="00000F0F">
            <w:pPr>
              <w:pStyle w:val="BodyText3"/>
              <w:spacing w:line="276" w:lineRule="auto"/>
              <w:jc w:val="both"/>
              <w:rPr>
                <w:rFonts w:ascii="Times New Roman" w:hAnsi="Times New Roman"/>
                <w:b/>
                <w:bCs/>
                <w:color w:val="000000"/>
                <w:sz w:val="24"/>
                <w:szCs w:val="24"/>
              </w:rPr>
            </w:pPr>
          </w:p>
        </w:tc>
        <w:tc>
          <w:tcPr>
            <w:tcW w:w="1823"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D0D0D" w:themeColor="text1" w:themeTint="F2"/>
                <w:sz w:val="24"/>
                <w:szCs w:val="24"/>
              </w:rPr>
            </w:pPr>
            <w:r w:rsidRPr="00000F0F">
              <w:rPr>
                <w:rFonts w:ascii="Times New Roman" w:hAnsi="Times New Roman"/>
                <w:b/>
                <w:bCs/>
                <w:color w:val="0D0D0D" w:themeColor="text1" w:themeTint="F2"/>
                <w:sz w:val="24"/>
                <w:szCs w:val="24"/>
              </w:rPr>
              <w:t xml:space="preserve">Totali  </w:t>
            </w:r>
          </w:p>
        </w:tc>
        <w:tc>
          <w:tcPr>
            <w:tcW w:w="1988"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D0D0D" w:themeColor="text1" w:themeTint="F2"/>
                <w:sz w:val="24"/>
                <w:szCs w:val="24"/>
              </w:rPr>
            </w:pPr>
            <w:r w:rsidRPr="00000F0F">
              <w:rPr>
                <w:rFonts w:ascii="Times New Roman" w:hAnsi="Times New Roman"/>
                <w:b/>
                <w:bCs/>
                <w:color w:val="0D0D0D" w:themeColor="text1" w:themeTint="F2"/>
                <w:sz w:val="24"/>
                <w:szCs w:val="24"/>
              </w:rPr>
              <w:t>79.252</w:t>
            </w:r>
          </w:p>
        </w:tc>
        <w:tc>
          <w:tcPr>
            <w:tcW w:w="1418" w:type="dxa"/>
            <w:tcBorders>
              <w:top w:val="nil"/>
              <w:left w:val="nil"/>
              <w:bottom w:val="single" w:sz="8" w:space="0" w:color="FFE599"/>
              <w:right w:val="single" w:sz="8" w:space="0" w:color="FFE599"/>
            </w:tcBorders>
            <w:tcMar>
              <w:top w:w="0" w:type="dxa"/>
              <w:left w:w="108" w:type="dxa"/>
              <w:bottom w:w="0" w:type="dxa"/>
              <w:right w:w="108" w:type="dxa"/>
            </w:tcMar>
          </w:tcPr>
          <w:p w:rsidR="00186598" w:rsidRPr="00000F0F" w:rsidRDefault="00186598" w:rsidP="00000F0F">
            <w:pPr>
              <w:pStyle w:val="BodyText3"/>
              <w:spacing w:line="276" w:lineRule="auto"/>
              <w:jc w:val="both"/>
              <w:rPr>
                <w:rFonts w:ascii="Times New Roman" w:hAnsi="Times New Roman"/>
                <w:b/>
                <w:bCs/>
                <w:color w:val="0D0D0D" w:themeColor="text1" w:themeTint="F2"/>
                <w:sz w:val="24"/>
                <w:szCs w:val="24"/>
              </w:rPr>
            </w:pPr>
          </w:p>
        </w:tc>
        <w:tc>
          <w:tcPr>
            <w:tcW w:w="1559"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D0D0D" w:themeColor="text1" w:themeTint="F2"/>
                <w:sz w:val="24"/>
                <w:szCs w:val="24"/>
              </w:rPr>
            </w:pPr>
            <w:r w:rsidRPr="00000F0F">
              <w:rPr>
                <w:rFonts w:ascii="Times New Roman" w:hAnsi="Times New Roman"/>
                <w:b/>
                <w:bCs/>
                <w:color w:val="0D0D0D" w:themeColor="text1" w:themeTint="F2"/>
                <w:sz w:val="24"/>
                <w:szCs w:val="24"/>
              </w:rPr>
              <w:t>78.282</w:t>
            </w:r>
          </w:p>
        </w:tc>
        <w:tc>
          <w:tcPr>
            <w:tcW w:w="1667" w:type="dxa"/>
            <w:tcBorders>
              <w:top w:val="nil"/>
              <w:left w:val="nil"/>
              <w:bottom w:val="single" w:sz="8" w:space="0" w:color="FFE599"/>
              <w:right w:val="single" w:sz="8" w:space="0" w:color="FFE599"/>
            </w:tcBorders>
            <w:tcMar>
              <w:top w:w="0" w:type="dxa"/>
              <w:left w:w="108" w:type="dxa"/>
              <w:bottom w:w="0" w:type="dxa"/>
              <w:right w:w="108" w:type="dxa"/>
            </w:tcMar>
            <w:hideMark/>
          </w:tcPr>
          <w:p w:rsidR="00186598" w:rsidRPr="00000F0F" w:rsidRDefault="00186598" w:rsidP="00000F0F">
            <w:pPr>
              <w:pStyle w:val="BodyText3"/>
              <w:spacing w:line="276" w:lineRule="auto"/>
              <w:jc w:val="both"/>
              <w:rPr>
                <w:rFonts w:ascii="Times New Roman" w:hAnsi="Times New Roman"/>
                <w:b/>
                <w:bCs/>
                <w:color w:val="0D0D0D" w:themeColor="text1" w:themeTint="F2"/>
                <w:sz w:val="24"/>
                <w:szCs w:val="24"/>
              </w:rPr>
            </w:pPr>
            <w:r w:rsidRPr="00000F0F">
              <w:rPr>
                <w:rFonts w:ascii="Times New Roman" w:hAnsi="Times New Roman"/>
                <w:b/>
                <w:bCs/>
                <w:color w:val="0D0D0D" w:themeColor="text1" w:themeTint="F2"/>
                <w:sz w:val="24"/>
                <w:szCs w:val="24"/>
              </w:rPr>
              <w:t>98.7%</w:t>
            </w:r>
          </w:p>
        </w:tc>
      </w:tr>
    </w:tbl>
    <w:p w:rsidR="00186598" w:rsidRPr="00000F0F" w:rsidRDefault="00186598" w:rsidP="00000F0F">
      <w:pPr>
        <w:spacing w:line="276" w:lineRule="auto"/>
        <w:jc w:val="both"/>
      </w:pPr>
    </w:p>
    <w:p w:rsidR="00186598" w:rsidRPr="00000F0F" w:rsidRDefault="00186598" w:rsidP="00000F0F">
      <w:pPr>
        <w:spacing w:line="276" w:lineRule="auto"/>
        <w:jc w:val="both"/>
      </w:pPr>
    </w:p>
    <w:p w:rsidR="00BB4A9D" w:rsidRPr="00000F0F" w:rsidRDefault="002E6E1D" w:rsidP="00000F0F">
      <w:pPr>
        <w:pStyle w:val="ListParagraph"/>
        <w:numPr>
          <w:ilvl w:val="0"/>
          <w:numId w:val="6"/>
        </w:numPr>
        <w:ind w:left="567" w:hanging="283"/>
        <w:jc w:val="both"/>
        <w:rPr>
          <w:rFonts w:ascii="Times New Roman" w:eastAsia="Batang" w:hAnsi="Times New Roman"/>
          <w:color w:val="0D0D0D" w:themeColor="text1" w:themeTint="F2"/>
          <w:sz w:val="24"/>
          <w:szCs w:val="24"/>
        </w:rPr>
      </w:pPr>
      <w:r w:rsidRPr="00000F0F">
        <w:rPr>
          <w:rFonts w:ascii="Times New Roman" w:eastAsia="Batang" w:hAnsi="Times New Roman"/>
          <w:b/>
          <w:color w:val="0D0D0D" w:themeColor="text1" w:themeTint="F2"/>
          <w:sz w:val="24"/>
          <w:szCs w:val="24"/>
          <w:u w:val="single"/>
        </w:rPr>
        <w:t>Fondi i përgjithshëm i pagave si dhe i sigurimeve shoqërore</w:t>
      </w:r>
      <w:r w:rsidR="009D7775" w:rsidRPr="00000F0F">
        <w:rPr>
          <w:rFonts w:ascii="Times New Roman" w:eastAsia="Batang" w:hAnsi="Times New Roman"/>
          <w:color w:val="0D0D0D" w:themeColor="text1" w:themeTint="F2"/>
          <w:sz w:val="24"/>
          <w:szCs w:val="24"/>
        </w:rPr>
        <w:t xml:space="preserve">. </w:t>
      </w:r>
    </w:p>
    <w:p w:rsidR="00BB4A9D" w:rsidRPr="00000F0F" w:rsidRDefault="00BB4A9D" w:rsidP="00000F0F">
      <w:pPr>
        <w:spacing w:line="276" w:lineRule="auto"/>
        <w:jc w:val="both"/>
        <w:rPr>
          <w:lang w:val="en-US"/>
        </w:rPr>
      </w:pPr>
      <w:r w:rsidRPr="00000F0F">
        <w:t xml:space="preserve">Ndër treguesit kryesorë të shpenzimeve, pjesën qendrore e përbëjnë pagat, realizuar në vlerën 47.017 (mijë lekë) ose 99% dhe kontributet për sigurimet shoqërore/shëndetësore, realizuar në shifrën 7.785 (në mijë lekë) ose 96%. Për Zyrën e Komisionerit është  akorduar Fondi i Veçantë me vlerë 790 (mijë lekë), i cili referuar akteve administrative është përdorur për mbështetje të punonjësve në raste fatkeqësie, sëmundje apo ndihma të menjërshme, në masën 670 (mijë lekë) ose  rreth  85%. </w:t>
      </w:r>
    </w:p>
    <w:p w:rsidR="00186598" w:rsidRPr="00000F0F" w:rsidRDefault="00186598" w:rsidP="00000F0F">
      <w:pPr>
        <w:spacing w:line="276" w:lineRule="auto"/>
        <w:jc w:val="both"/>
        <w:rPr>
          <w:rFonts w:eastAsia="Batang"/>
          <w:color w:val="0D0D0D" w:themeColor="text1" w:themeTint="F2"/>
        </w:rPr>
      </w:pPr>
    </w:p>
    <w:p w:rsidR="00CC728C" w:rsidRPr="00000F0F" w:rsidRDefault="00CC728C" w:rsidP="00000F0F">
      <w:pPr>
        <w:spacing w:line="276" w:lineRule="auto"/>
        <w:jc w:val="both"/>
        <w:rPr>
          <w:rFonts w:eastAsia="Batang"/>
          <w:color w:val="0D0D0D" w:themeColor="text1" w:themeTint="F2"/>
        </w:rPr>
      </w:pPr>
      <w:r w:rsidRPr="00000F0F">
        <w:rPr>
          <w:rFonts w:eastAsia="Batang"/>
          <w:color w:val="0D0D0D" w:themeColor="text1" w:themeTint="F2"/>
        </w:rPr>
        <w:t xml:space="preserve">Fondi i përgjithshëm i pagave si dhe i sigurimeve shoqërore, është realizuar për numrin faktik të punonjësve </w:t>
      </w:r>
      <w:r w:rsidR="00A82ABC" w:rsidRPr="00000F0F">
        <w:rPr>
          <w:rFonts w:eastAsia="Batang"/>
          <w:color w:val="0D0D0D" w:themeColor="text1" w:themeTint="F2"/>
        </w:rPr>
        <w:t xml:space="preserve">në strukture dhë  jashtë saj ( 41+5 ) </w:t>
      </w:r>
    </w:p>
    <w:p w:rsidR="00186598" w:rsidRPr="00000F0F" w:rsidRDefault="00186598" w:rsidP="00000F0F">
      <w:pPr>
        <w:spacing w:line="276" w:lineRule="auto"/>
        <w:jc w:val="both"/>
      </w:pPr>
    </w:p>
    <w:p w:rsidR="00C85AC6" w:rsidRPr="00000F0F" w:rsidRDefault="00C85AC6" w:rsidP="00000F0F">
      <w:pPr>
        <w:spacing w:line="276" w:lineRule="auto"/>
        <w:jc w:val="both"/>
        <w:rPr>
          <w:i/>
        </w:rPr>
      </w:pPr>
      <w:r w:rsidRPr="00000F0F">
        <w:t xml:space="preserve">Veprimtaria e institucionit ushtrohet në përputhje me strukturën dhe organikën, prej 44 punonjësish, e miratuar me Vendimin e Kuvendit nr. 84/2020 </w:t>
      </w:r>
      <w:r w:rsidRPr="00000F0F">
        <w:rPr>
          <w:i/>
        </w:rPr>
        <w:t xml:space="preserve">“Për disa shtesa e ndryshime të Vendimit nr. 86/2018 “Për miratimin e strukturës, organikës dhe klasifikimit të pagave të Komisionerit për të Drejtën e Informimit dhe Mbrojtjen e të Dhënave Personale””. </w:t>
      </w:r>
    </w:p>
    <w:p w:rsidR="00186598" w:rsidRPr="00000F0F" w:rsidRDefault="00C85AC6" w:rsidP="00000F0F">
      <w:pPr>
        <w:spacing w:line="276" w:lineRule="auto"/>
        <w:jc w:val="both"/>
      </w:pPr>
      <w:r w:rsidRPr="00000F0F">
        <w:t xml:space="preserve">Kuadri i modernizuar ligjor për të dy fushat e përgjegjësisë shton kompetencat dhe funksionet mbikëqyrëse, çka sjell si domosdoshmëri shtimin e kapaciteteve administrative për përmbushjen e tyre, si në terma sasiorë ashtu edhe cilësorë. Në këtë kontekst, iu propozua institucioneve përkatëse një strukturë e plotë dhe efikase më një numër shtesë prej 16 punonjësish, për një total prej 60 personash. Ky proces rezultoi me pranimin e pjesshëm të kërkesës, ku me Aktin Normativ nr. 12/2022 dhe Ligjin e Buxhetit të vitit 2023, u miratua shtesa prej 8 nëpunësish, e cila do të reflektohet me vendimmarrjen përkatëse të Kuvendit gjatë vitit 2023. </w:t>
      </w:r>
    </w:p>
    <w:p w:rsidR="00186598" w:rsidRPr="00000F0F" w:rsidRDefault="00186598" w:rsidP="00000F0F">
      <w:pPr>
        <w:spacing w:line="276" w:lineRule="auto"/>
        <w:jc w:val="both"/>
      </w:pPr>
      <w:r w:rsidRPr="00000F0F">
        <w:lastRenderedPageBreak/>
        <w:t xml:space="preserve">Gjatë vitit 2022, u zhvilluan 17 procedura rekrutimi për pozicionet vakante në organikë, ku në këtë numër përfshihen edhe ato të rishpallura. Zyra e Komisonerit thekson se pamundësia e plotësimit të tyre vjen si rezultat i mungesës së ekspertizës së duhur nga kandidatët.  Një faktor tjetër që ka ndikuar në këtë problematikë, është ofrimi i pagave më të larta në sektorin privat për këto lloj pozicionesh që kërkojnë këtë nivel të lartë profesional (veçanërisht, fusha e mbrojtjes së të dhënave). </w:t>
      </w:r>
    </w:p>
    <w:p w:rsidR="00C85AC6" w:rsidRPr="00000F0F" w:rsidRDefault="00C85AC6" w:rsidP="00000F0F">
      <w:pPr>
        <w:widowControl w:val="0"/>
        <w:spacing w:line="276" w:lineRule="auto"/>
        <w:jc w:val="both"/>
        <w:rPr>
          <w:rFonts w:eastAsia="Batang"/>
          <w:lang w:val="sv-SE"/>
        </w:rPr>
      </w:pPr>
      <w:r w:rsidRPr="00000F0F">
        <w:rPr>
          <w:rFonts w:eastAsia="Batang"/>
          <w:lang w:val="sv-SE"/>
        </w:rPr>
        <w:t>Janë kryer procedurat e emërimeve të përkohshme, për pozicionet e deklaruar përkohësisht vakante, për shkak të largimeve në detyra të tjera jashtë institucionit apo atyre me raport paaftësie (leje lindje) si dhe të tjera emërime me kontrata me afat të caktuar (punë me kohë të reduktuar 6 orë). Referuar planit vjetor të rekrutimeve, deri me 31 Dhjetor  kanë  mbetur 5 vende vakante, nga të cilat 3 pozicione të nivelit të mesëm drejtues, 1 inspektor i nivelit të ulët drejtues</w:t>
      </w:r>
      <w:r w:rsidR="00186598" w:rsidRPr="00000F0F">
        <w:rPr>
          <w:rFonts w:eastAsia="Batang"/>
          <w:lang w:val="sv-SE"/>
        </w:rPr>
        <w:t xml:space="preserve"> si dhe një pozicion në Drejtorinë e Kabinetit </w:t>
      </w:r>
      <w:r w:rsidRPr="00000F0F">
        <w:rPr>
          <w:rFonts w:eastAsia="Batang"/>
          <w:lang w:val="sv-SE"/>
        </w:rPr>
        <w:t xml:space="preserve"> </w:t>
      </w:r>
    </w:p>
    <w:p w:rsidR="00C85AC6" w:rsidRPr="00000F0F" w:rsidRDefault="00186598" w:rsidP="00000F0F">
      <w:pPr>
        <w:spacing w:line="276" w:lineRule="auto"/>
        <w:jc w:val="both"/>
      </w:pPr>
      <w:r w:rsidRPr="00000F0F">
        <w:t xml:space="preserve"> </w:t>
      </w:r>
    </w:p>
    <w:p w:rsidR="00C85AC6" w:rsidRPr="00000F0F" w:rsidRDefault="00C85AC6" w:rsidP="00000F0F">
      <w:pPr>
        <w:spacing w:line="276" w:lineRule="auto"/>
        <w:jc w:val="both"/>
      </w:pPr>
      <w:r w:rsidRPr="00000F0F">
        <w:t xml:space="preserve">Ndërkohë, në kuadër të zhvillimit të kapaciteteve profesionale të stafit janë ndjekur trajnimet periodike </w:t>
      </w:r>
      <w:r w:rsidRPr="00000F0F">
        <w:rPr>
          <w:rFonts w:eastAsia="Batang"/>
        </w:rPr>
        <w:t xml:space="preserve">në bashkëpunim me ASPA dhe me partnerë të huaj, sipas fushave të përgjegjësisë. Nga ana tjetër, miratimi i </w:t>
      </w:r>
      <w:r w:rsidRPr="00000F0F">
        <w:t xml:space="preserve">Planit të Integritetit 2022-2025 do të nxisë kulturën dhe etikën në këtë rrafsh në të gjitha nivelet e stafit. </w:t>
      </w:r>
    </w:p>
    <w:p w:rsidR="00186598" w:rsidRPr="00000F0F" w:rsidRDefault="00186598" w:rsidP="00000F0F">
      <w:pPr>
        <w:spacing w:line="276" w:lineRule="auto"/>
        <w:jc w:val="both"/>
      </w:pPr>
    </w:p>
    <w:p w:rsidR="00CC728C" w:rsidRPr="00000F0F" w:rsidRDefault="00CC728C" w:rsidP="00000F0F">
      <w:pPr>
        <w:pStyle w:val="ListParagraph"/>
        <w:numPr>
          <w:ilvl w:val="0"/>
          <w:numId w:val="6"/>
        </w:numPr>
        <w:ind w:left="720"/>
        <w:jc w:val="both"/>
        <w:rPr>
          <w:rFonts w:ascii="Times New Roman" w:hAnsi="Times New Roman"/>
          <w:b/>
          <w:bCs/>
          <w:color w:val="0D0D0D" w:themeColor="text1" w:themeTint="F2"/>
          <w:sz w:val="24"/>
          <w:szCs w:val="24"/>
        </w:rPr>
      </w:pPr>
      <w:r w:rsidRPr="00000F0F">
        <w:rPr>
          <w:rFonts w:ascii="Times New Roman" w:eastAsia="Batang" w:hAnsi="Times New Roman"/>
          <w:b/>
          <w:color w:val="0D0D0D" w:themeColor="text1" w:themeTint="F2"/>
          <w:sz w:val="24"/>
          <w:szCs w:val="24"/>
          <w:u w:val="single"/>
          <w:lang w:val="sv-SE"/>
        </w:rPr>
        <w:t xml:space="preserve">Fondi për </w:t>
      </w:r>
      <w:proofErr w:type="spellStart"/>
      <w:r w:rsidRPr="00000F0F">
        <w:rPr>
          <w:rFonts w:ascii="Times New Roman" w:hAnsi="Times New Roman"/>
          <w:b/>
          <w:bCs/>
          <w:color w:val="0D0D0D" w:themeColor="text1" w:themeTint="F2"/>
          <w:sz w:val="24"/>
          <w:szCs w:val="24"/>
          <w:u w:val="single"/>
          <w:lang w:val="es-CL"/>
        </w:rPr>
        <w:t>Shpenzime</w:t>
      </w:r>
      <w:proofErr w:type="spellEnd"/>
      <w:r w:rsidRPr="00000F0F">
        <w:rPr>
          <w:rFonts w:ascii="Times New Roman" w:hAnsi="Times New Roman"/>
          <w:b/>
          <w:bCs/>
          <w:color w:val="0D0D0D" w:themeColor="text1" w:themeTint="F2"/>
          <w:sz w:val="24"/>
          <w:szCs w:val="24"/>
          <w:u w:val="single"/>
          <w:lang w:val="es-CL"/>
        </w:rPr>
        <w:t xml:space="preserve"> </w:t>
      </w:r>
      <w:proofErr w:type="spellStart"/>
      <w:r w:rsidRPr="00000F0F">
        <w:rPr>
          <w:rFonts w:ascii="Times New Roman" w:hAnsi="Times New Roman"/>
          <w:b/>
          <w:bCs/>
          <w:color w:val="0D0D0D" w:themeColor="text1" w:themeTint="F2"/>
          <w:sz w:val="24"/>
          <w:szCs w:val="24"/>
          <w:u w:val="single"/>
          <w:lang w:val="es-CL"/>
        </w:rPr>
        <w:t>Korente</w:t>
      </w:r>
      <w:proofErr w:type="spellEnd"/>
      <w:r w:rsidRPr="00000F0F">
        <w:rPr>
          <w:rFonts w:ascii="Times New Roman" w:hAnsi="Times New Roman"/>
          <w:b/>
          <w:bCs/>
          <w:color w:val="0D0D0D" w:themeColor="text1" w:themeTint="F2"/>
          <w:sz w:val="24"/>
          <w:szCs w:val="24"/>
          <w:u w:val="single"/>
          <w:lang w:val="es-CL"/>
        </w:rPr>
        <w:t xml:space="preserve"> </w:t>
      </w:r>
      <w:proofErr w:type="spellStart"/>
      <w:r w:rsidRPr="00000F0F">
        <w:rPr>
          <w:rFonts w:ascii="Times New Roman" w:hAnsi="Times New Roman"/>
          <w:b/>
          <w:bCs/>
          <w:color w:val="0D0D0D" w:themeColor="text1" w:themeTint="F2"/>
          <w:sz w:val="24"/>
          <w:szCs w:val="24"/>
          <w:u w:val="single"/>
          <w:lang w:val="es-CL"/>
        </w:rPr>
        <w:t>të</w:t>
      </w:r>
      <w:proofErr w:type="spellEnd"/>
      <w:r w:rsidRPr="00000F0F">
        <w:rPr>
          <w:rFonts w:ascii="Times New Roman" w:hAnsi="Times New Roman"/>
          <w:b/>
          <w:bCs/>
          <w:color w:val="0D0D0D" w:themeColor="text1" w:themeTint="F2"/>
          <w:sz w:val="24"/>
          <w:szCs w:val="24"/>
          <w:u w:val="single"/>
          <w:lang w:val="es-CL"/>
        </w:rPr>
        <w:t xml:space="preserve"> </w:t>
      </w:r>
      <w:proofErr w:type="spellStart"/>
      <w:r w:rsidRPr="00000F0F">
        <w:rPr>
          <w:rFonts w:ascii="Times New Roman" w:hAnsi="Times New Roman"/>
          <w:b/>
          <w:bCs/>
          <w:color w:val="0D0D0D" w:themeColor="text1" w:themeTint="F2"/>
          <w:sz w:val="24"/>
          <w:szCs w:val="24"/>
          <w:u w:val="single"/>
          <w:lang w:val="es-CL"/>
        </w:rPr>
        <w:t>tjera</w:t>
      </w:r>
      <w:proofErr w:type="spellEnd"/>
      <w:r w:rsidRPr="00000F0F">
        <w:rPr>
          <w:rFonts w:ascii="Times New Roman" w:eastAsia="Batang" w:hAnsi="Times New Roman"/>
          <w:b/>
          <w:color w:val="0D0D0D" w:themeColor="text1" w:themeTint="F2"/>
          <w:sz w:val="24"/>
          <w:szCs w:val="24"/>
          <w:u w:val="single"/>
          <w:lang w:val="sv-SE"/>
        </w:rPr>
        <w:t xml:space="preserve"> (602-60</w:t>
      </w:r>
      <w:r w:rsidR="003F6577" w:rsidRPr="00000F0F">
        <w:rPr>
          <w:rFonts w:ascii="Times New Roman" w:eastAsia="Batang" w:hAnsi="Times New Roman"/>
          <w:b/>
          <w:color w:val="0D0D0D" w:themeColor="text1" w:themeTint="F2"/>
          <w:sz w:val="24"/>
          <w:szCs w:val="24"/>
          <w:u w:val="single"/>
          <w:lang w:val="sv-SE"/>
        </w:rPr>
        <w:t>6</w:t>
      </w:r>
      <w:r w:rsidRPr="00000F0F">
        <w:rPr>
          <w:rFonts w:ascii="Times New Roman" w:eastAsia="Batang" w:hAnsi="Times New Roman"/>
          <w:b/>
          <w:color w:val="0D0D0D" w:themeColor="text1" w:themeTint="F2"/>
          <w:sz w:val="24"/>
          <w:szCs w:val="24"/>
          <w:u w:val="single"/>
          <w:lang w:val="sv-SE"/>
        </w:rPr>
        <w:t>)</w:t>
      </w:r>
      <w:r w:rsidRPr="00000F0F">
        <w:rPr>
          <w:rFonts w:ascii="Times New Roman" w:hAnsi="Times New Roman"/>
          <w:b/>
          <w:bCs/>
          <w:color w:val="0D0D0D" w:themeColor="text1" w:themeTint="F2"/>
          <w:sz w:val="24"/>
          <w:szCs w:val="24"/>
          <w:u w:val="single"/>
          <w:lang w:val="es-CL"/>
        </w:rPr>
        <w:t xml:space="preserve">, </w:t>
      </w:r>
      <w:proofErr w:type="spellStart"/>
      <w:r w:rsidRPr="00000F0F">
        <w:rPr>
          <w:rFonts w:ascii="Times New Roman" w:hAnsi="Times New Roman"/>
          <w:bCs/>
          <w:color w:val="0D0D0D" w:themeColor="text1" w:themeTint="F2"/>
          <w:sz w:val="24"/>
          <w:szCs w:val="24"/>
          <w:lang w:val="es-CL"/>
        </w:rPr>
        <w:t>për</w:t>
      </w:r>
      <w:proofErr w:type="spellEnd"/>
      <w:r w:rsidRPr="00000F0F">
        <w:rPr>
          <w:rFonts w:ascii="Times New Roman" w:hAnsi="Times New Roman"/>
          <w:bCs/>
          <w:color w:val="0D0D0D" w:themeColor="text1" w:themeTint="F2"/>
          <w:sz w:val="24"/>
          <w:szCs w:val="24"/>
          <w:lang w:val="es-CL"/>
        </w:rPr>
        <w:t xml:space="preserve"> </w:t>
      </w:r>
      <w:r w:rsidRPr="00000F0F">
        <w:rPr>
          <w:rFonts w:ascii="Times New Roman" w:eastAsia="Batang" w:hAnsi="Times New Roman"/>
          <w:color w:val="0D0D0D" w:themeColor="text1" w:themeTint="F2"/>
          <w:sz w:val="24"/>
          <w:szCs w:val="24"/>
          <w:lang w:val="sv-SE"/>
        </w:rPr>
        <w:t>periudh</w:t>
      </w:r>
      <w:r w:rsidR="001E7E59" w:rsidRPr="00000F0F">
        <w:rPr>
          <w:rFonts w:ascii="Times New Roman" w:eastAsia="Batang" w:hAnsi="Times New Roman"/>
          <w:color w:val="0D0D0D" w:themeColor="text1" w:themeTint="F2"/>
          <w:sz w:val="24"/>
          <w:szCs w:val="24"/>
          <w:lang w:val="sv-SE"/>
        </w:rPr>
        <w:t>ë</w:t>
      </w:r>
      <w:r w:rsidR="00E7408C" w:rsidRPr="00000F0F">
        <w:rPr>
          <w:rFonts w:ascii="Times New Roman" w:eastAsia="Batang" w:hAnsi="Times New Roman"/>
          <w:color w:val="0D0D0D" w:themeColor="text1" w:themeTint="F2"/>
          <w:sz w:val="24"/>
          <w:szCs w:val="24"/>
          <w:lang w:val="sv-SE"/>
        </w:rPr>
        <w:t>n Janar-</w:t>
      </w:r>
      <w:r w:rsidR="009079DB" w:rsidRPr="00000F0F">
        <w:rPr>
          <w:rFonts w:ascii="Times New Roman" w:eastAsia="Batang" w:hAnsi="Times New Roman"/>
          <w:color w:val="0D0D0D" w:themeColor="text1" w:themeTint="F2"/>
          <w:sz w:val="24"/>
          <w:szCs w:val="24"/>
          <w:lang w:val="sv-SE"/>
        </w:rPr>
        <w:t xml:space="preserve">Dhjetor </w:t>
      </w:r>
      <w:r w:rsidR="001E7E59" w:rsidRPr="00000F0F">
        <w:rPr>
          <w:rFonts w:ascii="Times New Roman" w:eastAsia="Batang" w:hAnsi="Times New Roman"/>
          <w:color w:val="0D0D0D" w:themeColor="text1" w:themeTint="F2"/>
          <w:sz w:val="24"/>
          <w:szCs w:val="24"/>
          <w:lang w:val="sv-SE"/>
        </w:rPr>
        <w:t xml:space="preserve"> 2022</w:t>
      </w:r>
      <w:r w:rsidRPr="00000F0F">
        <w:rPr>
          <w:rFonts w:ascii="Times New Roman" w:eastAsia="Batang" w:hAnsi="Times New Roman"/>
          <w:color w:val="0D0D0D" w:themeColor="text1" w:themeTint="F2"/>
          <w:sz w:val="24"/>
          <w:szCs w:val="24"/>
          <w:lang w:val="sv-SE"/>
        </w:rPr>
        <w:t xml:space="preserve">, është realizuar </w:t>
      </w:r>
      <w:proofErr w:type="spellStart"/>
      <w:r w:rsidRPr="00000F0F">
        <w:rPr>
          <w:rFonts w:ascii="Times New Roman" w:hAnsi="Times New Roman"/>
          <w:bCs/>
          <w:color w:val="0D0D0D" w:themeColor="text1" w:themeTint="F2"/>
          <w:sz w:val="24"/>
          <w:szCs w:val="24"/>
          <w:lang w:val="es-CL"/>
        </w:rPr>
        <w:t>në</w:t>
      </w:r>
      <w:proofErr w:type="spellEnd"/>
      <w:r w:rsidRPr="00000F0F">
        <w:rPr>
          <w:rFonts w:ascii="Times New Roman" w:hAnsi="Times New Roman"/>
          <w:bCs/>
          <w:color w:val="0D0D0D" w:themeColor="text1" w:themeTint="F2"/>
          <w:sz w:val="24"/>
          <w:szCs w:val="24"/>
          <w:lang w:val="es-CL"/>
        </w:rPr>
        <w:t xml:space="preserve"> </w:t>
      </w:r>
      <w:proofErr w:type="spellStart"/>
      <w:r w:rsidRPr="00000F0F">
        <w:rPr>
          <w:rFonts w:ascii="Times New Roman" w:hAnsi="Times New Roman"/>
          <w:bCs/>
          <w:color w:val="0D0D0D" w:themeColor="text1" w:themeTint="F2"/>
          <w:sz w:val="24"/>
          <w:szCs w:val="24"/>
          <w:lang w:val="es-CL"/>
        </w:rPr>
        <w:t>vlerën</w:t>
      </w:r>
      <w:proofErr w:type="spellEnd"/>
      <w:r w:rsidRPr="00000F0F">
        <w:rPr>
          <w:rFonts w:ascii="Times New Roman" w:hAnsi="Times New Roman"/>
          <w:bCs/>
          <w:color w:val="0D0D0D" w:themeColor="text1" w:themeTint="F2"/>
          <w:sz w:val="24"/>
          <w:szCs w:val="24"/>
          <w:lang w:val="es-CL"/>
        </w:rPr>
        <w:t xml:space="preserve"> </w:t>
      </w:r>
      <w:r w:rsidR="0068030E" w:rsidRPr="00000F0F">
        <w:rPr>
          <w:rFonts w:ascii="Times New Roman" w:hAnsi="Times New Roman"/>
          <w:b/>
          <w:bCs/>
          <w:color w:val="0D0D0D" w:themeColor="text1" w:themeTint="F2"/>
          <w:sz w:val="24"/>
          <w:szCs w:val="24"/>
          <w:lang w:val="es-CL"/>
        </w:rPr>
        <w:t>18.398</w:t>
      </w:r>
      <w:r w:rsidR="00E7408C" w:rsidRPr="00000F0F">
        <w:rPr>
          <w:rFonts w:ascii="Times New Roman" w:hAnsi="Times New Roman"/>
          <w:b/>
          <w:bCs/>
          <w:color w:val="0D0D0D" w:themeColor="text1" w:themeTint="F2"/>
          <w:sz w:val="24"/>
          <w:szCs w:val="24"/>
          <w:lang w:val="es-CL"/>
        </w:rPr>
        <w:t xml:space="preserve"> </w:t>
      </w:r>
      <w:r w:rsidR="001E7E59" w:rsidRPr="00000F0F">
        <w:rPr>
          <w:rFonts w:ascii="Times New Roman" w:eastAsia="Batang" w:hAnsi="Times New Roman"/>
          <w:b/>
          <w:color w:val="0D0D0D" w:themeColor="text1" w:themeTint="F2"/>
          <w:sz w:val="24"/>
          <w:szCs w:val="24"/>
        </w:rPr>
        <w:t>(në mijë) lekë</w:t>
      </w:r>
      <w:r w:rsidR="00E7408C" w:rsidRPr="00000F0F">
        <w:rPr>
          <w:rFonts w:ascii="Times New Roman" w:eastAsia="Batang" w:hAnsi="Times New Roman"/>
          <w:color w:val="0D0D0D" w:themeColor="text1" w:themeTint="F2"/>
          <w:sz w:val="24"/>
          <w:szCs w:val="24"/>
          <w:lang w:val="sv-SE"/>
        </w:rPr>
        <w:t xml:space="preserve">, </w:t>
      </w:r>
      <w:r w:rsidR="00E7408C" w:rsidRPr="00000F0F">
        <w:rPr>
          <w:rFonts w:ascii="Times New Roman" w:eastAsia="Batang" w:hAnsi="Times New Roman"/>
          <w:color w:val="0D0D0D" w:themeColor="text1" w:themeTint="F2"/>
          <w:sz w:val="24"/>
          <w:szCs w:val="24"/>
        </w:rPr>
        <w:t xml:space="preserve">ose rreth </w:t>
      </w:r>
      <w:r w:rsidR="00D17532" w:rsidRPr="00000F0F">
        <w:rPr>
          <w:rFonts w:ascii="Times New Roman" w:eastAsia="Batang" w:hAnsi="Times New Roman"/>
          <w:color w:val="0D0D0D" w:themeColor="text1" w:themeTint="F2"/>
          <w:sz w:val="24"/>
          <w:szCs w:val="24"/>
        </w:rPr>
        <w:t>99.</w:t>
      </w:r>
      <w:r w:rsidR="0068030E" w:rsidRPr="00000F0F">
        <w:rPr>
          <w:rFonts w:ascii="Times New Roman" w:eastAsia="Batang" w:hAnsi="Times New Roman"/>
          <w:color w:val="0D0D0D" w:themeColor="text1" w:themeTint="F2"/>
          <w:sz w:val="24"/>
          <w:szCs w:val="24"/>
        </w:rPr>
        <w:t>6</w:t>
      </w:r>
      <w:r w:rsidR="003F6577" w:rsidRPr="00000F0F">
        <w:rPr>
          <w:rFonts w:ascii="Times New Roman" w:eastAsia="Batang" w:hAnsi="Times New Roman"/>
          <w:color w:val="0D0D0D" w:themeColor="text1" w:themeTint="F2"/>
          <w:sz w:val="24"/>
          <w:szCs w:val="24"/>
        </w:rPr>
        <w:t xml:space="preserve"> </w:t>
      </w:r>
      <w:r w:rsidRPr="00000F0F">
        <w:rPr>
          <w:rFonts w:ascii="Times New Roman" w:eastAsia="Batang" w:hAnsi="Times New Roman"/>
          <w:color w:val="0D0D0D" w:themeColor="text1" w:themeTint="F2"/>
          <w:sz w:val="24"/>
          <w:szCs w:val="24"/>
        </w:rPr>
        <w:t xml:space="preserve">% e fondit të planifikuar për </w:t>
      </w:r>
      <w:r w:rsidR="003F6577" w:rsidRPr="00000F0F">
        <w:rPr>
          <w:rFonts w:ascii="Times New Roman" w:eastAsia="Batang" w:hAnsi="Times New Roman"/>
          <w:color w:val="0D0D0D" w:themeColor="text1" w:themeTint="F2"/>
          <w:sz w:val="24"/>
          <w:szCs w:val="24"/>
        </w:rPr>
        <w:t>vitin 2022</w:t>
      </w:r>
      <w:r w:rsidR="003F69B0" w:rsidRPr="00000F0F">
        <w:rPr>
          <w:rFonts w:ascii="Times New Roman" w:eastAsia="Batang" w:hAnsi="Times New Roman"/>
          <w:color w:val="0D0D0D" w:themeColor="text1" w:themeTint="F2"/>
          <w:sz w:val="24"/>
          <w:szCs w:val="24"/>
        </w:rPr>
        <w:t xml:space="preserve"> </w:t>
      </w:r>
      <w:r w:rsidR="00E7408C" w:rsidRPr="00000F0F">
        <w:rPr>
          <w:rFonts w:ascii="Times New Roman" w:eastAsia="Batang" w:hAnsi="Times New Roman"/>
          <w:color w:val="0D0D0D" w:themeColor="text1" w:themeTint="F2"/>
          <w:sz w:val="24"/>
          <w:szCs w:val="24"/>
        </w:rPr>
        <w:t>të këtij shpenzimi (</w:t>
      </w:r>
      <w:r w:rsidRPr="00000F0F">
        <w:rPr>
          <w:rFonts w:ascii="Times New Roman" w:eastAsia="Batang" w:hAnsi="Times New Roman"/>
          <w:color w:val="0D0D0D" w:themeColor="text1" w:themeTint="F2"/>
          <w:sz w:val="24"/>
          <w:szCs w:val="24"/>
        </w:rPr>
        <w:t xml:space="preserve">602-606) </w:t>
      </w:r>
      <w:r w:rsidRPr="00000F0F">
        <w:rPr>
          <w:rFonts w:ascii="Times New Roman" w:hAnsi="Times New Roman"/>
          <w:color w:val="0D0D0D" w:themeColor="text1" w:themeTint="F2"/>
          <w:sz w:val="24"/>
          <w:szCs w:val="24"/>
          <w:lang w:val="it-IT"/>
        </w:rPr>
        <w:t>Ky fond është realizuar për:</w:t>
      </w:r>
    </w:p>
    <w:p w:rsidR="00CC728C" w:rsidRPr="00000F0F" w:rsidRDefault="00CC728C" w:rsidP="00000F0F">
      <w:pPr>
        <w:pStyle w:val="ListParagraph"/>
        <w:widowControl w:val="0"/>
        <w:spacing w:after="0"/>
        <w:ind w:left="426"/>
        <w:contextualSpacing w:val="0"/>
        <w:jc w:val="both"/>
        <w:rPr>
          <w:rFonts w:ascii="Times New Roman" w:hAnsi="Times New Roman"/>
          <w:b/>
          <w:bCs/>
          <w:color w:val="0D0D0D" w:themeColor="text1" w:themeTint="F2"/>
          <w:sz w:val="24"/>
          <w:szCs w:val="24"/>
        </w:rPr>
      </w:pPr>
    </w:p>
    <w:p w:rsidR="00CC728C" w:rsidRPr="00000F0F" w:rsidRDefault="00CC728C" w:rsidP="00000F0F">
      <w:pPr>
        <w:numPr>
          <w:ilvl w:val="1"/>
          <w:numId w:val="2"/>
        </w:numPr>
        <w:tabs>
          <w:tab w:val="clear" w:pos="786"/>
          <w:tab w:val="num" w:pos="1440"/>
        </w:tabs>
        <w:spacing w:line="276" w:lineRule="auto"/>
        <w:ind w:left="1440"/>
        <w:jc w:val="both"/>
        <w:rPr>
          <w:color w:val="0D0D0D" w:themeColor="text1" w:themeTint="F2"/>
          <w:lang w:val="it-IT"/>
        </w:rPr>
      </w:pPr>
      <w:r w:rsidRPr="00000F0F">
        <w:rPr>
          <w:color w:val="0D0D0D" w:themeColor="text1" w:themeTint="F2"/>
          <w:lang w:val="it-IT"/>
        </w:rPr>
        <w:t xml:space="preserve">Shlyerjen e detyrimeve </w:t>
      </w:r>
      <w:r w:rsidRPr="00000F0F">
        <w:rPr>
          <w:rFonts w:eastAsia="Batang"/>
          <w:color w:val="0D0D0D" w:themeColor="text1" w:themeTint="F2"/>
          <w:lang w:val="it-IT"/>
        </w:rPr>
        <w:t>ndaj shtetit, si detyrime energji elektrike, ujë, shërbime bankare, postare e telefonike.</w:t>
      </w:r>
    </w:p>
    <w:p w:rsidR="00CC728C" w:rsidRPr="00000F0F" w:rsidRDefault="00CC728C" w:rsidP="00000F0F">
      <w:pPr>
        <w:numPr>
          <w:ilvl w:val="1"/>
          <w:numId w:val="2"/>
        </w:numPr>
        <w:tabs>
          <w:tab w:val="clear" w:pos="786"/>
          <w:tab w:val="num" w:pos="1440"/>
        </w:tabs>
        <w:spacing w:line="276" w:lineRule="auto"/>
        <w:ind w:left="1440"/>
        <w:jc w:val="both"/>
        <w:rPr>
          <w:color w:val="0D0D0D" w:themeColor="text1" w:themeTint="F2"/>
        </w:rPr>
      </w:pPr>
      <w:r w:rsidRPr="00000F0F">
        <w:rPr>
          <w:rFonts w:eastAsia="Batang"/>
          <w:color w:val="0D0D0D" w:themeColor="text1" w:themeTint="F2"/>
        </w:rPr>
        <w:t xml:space="preserve">Shpenzime në funksion të realizimit të qëllimit </w:t>
      </w:r>
      <w:r w:rsidRPr="00000F0F">
        <w:rPr>
          <w:color w:val="0D0D0D" w:themeColor="text1" w:themeTint="F2"/>
        </w:rPr>
        <w:t xml:space="preserve">të Komisionerit, </w:t>
      </w:r>
      <w:r w:rsidR="00532310" w:rsidRPr="00000F0F">
        <w:rPr>
          <w:color w:val="0D0D0D" w:themeColor="text1" w:themeTint="F2"/>
        </w:rPr>
        <w:t xml:space="preserve">ku për </w:t>
      </w:r>
      <w:r w:rsidR="00E7408C" w:rsidRPr="00000F0F">
        <w:rPr>
          <w:color w:val="0D0D0D" w:themeColor="text1" w:themeTint="F2"/>
        </w:rPr>
        <w:t>platformat e instaluara</w:t>
      </w:r>
      <w:r w:rsidR="00532310" w:rsidRPr="00000F0F">
        <w:rPr>
          <w:color w:val="0D0D0D" w:themeColor="text1" w:themeTint="F2"/>
        </w:rPr>
        <w:t xml:space="preserve"> janë ndër</w:t>
      </w:r>
      <w:r w:rsidRPr="00000F0F">
        <w:rPr>
          <w:color w:val="0D0D0D" w:themeColor="text1" w:themeTint="F2"/>
        </w:rPr>
        <w:t>marrë procedurat e mir</w:t>
      </w:r>
      <w:r w:rsidR="00E7408C" w:rsidRPr="00000F0F">
        <w:rPr>
          <w:color w:val="0D0D0D" w:themeColor="text1" w:themeTint="F2"/>
        </w:rPr>
        <w:t>ë</w:t>
      </w:r>
      <w:r w:rsidRPr="00000F0F">
        <w:rPr>
          <w:color w:val="0D0D0D" w:themeColor="text1" w:themeTint="F2"/>
        </w:rPr>
        <w:t>mbajtjes vjetore t</w:t>
      </w:r>
      <w:r w:rsidR="00532310" w:rsidRPr="00000F0F">
        <w:rPr>
          <w:color w:val="0D0D0D" w:themeColor="text1" w:themeTint="F2"/>
        </w:rPr>
        <w:t>ë</w:t>
      </w:r>
      <w:r w:rsidRPr="00000F0F">
        <w:rPr>
          <w:color w:val="0D0D0D" w:themeColor="text1" w:themeTint="F2"/>
        </w:rPr>
        <w:t xml:space="preserve"> tyre</w:t>
      </w:r>
    </w:p>
    <w:p w:rsidR="00CC728C" w:rsidRPr="00000F0F" w:rsidRDefault="00E7408C" w:rsidP="00000F0F">
      <w:pPr>
        <w:numPr>
          <w:ilvl w:val="1"/>
          <w:numId w:val="2"/>
        </w:numPr>
        <w:tabs>
          <w:tab w:val="clear" w:pos="786"/>
          <w:tab w:val="num" w:pos="1440"/>
        </w:tabs>
        <w:spacing w:line="276" w:lineRule="auto"/>
        <w:ind w:left="1440"/>
        <w:jc w:val="both"/>
        <w:rPr>
          <w:color w:val="0D0D0D" w:themeColor="text1" w:themeTint="F2"/>
        </w:rPr>
      </w:pPr>
      <w:r w:rsidRPr="00000F0F">
        <w:rPr>
          <w:rFonts w:eastAsia="Batang"/>
          <w:color w:val="0D0D0D" w:themeColor="text1" w:themeTint="F2"/>
        </w:rPr>
        <w:t xml:space="preserve">Shpenzime për sigurimin e </w:t>
      </w:r>
      <w:r w:rsidR="00CC728C" w:rsidRPr="00000F0F">
        <w:rPr>
          <w:rFonts w:eastAsia="Batang"/>
          <w:color w:val="0D0D0D" w:themeColor="text1" w:themeTint="F2"/>
        </w:rPr>
        <w:t>godinave e të mjeteve të transportit si dhe sh</w:t>
      </w:r>
      <w:r w:rsidR="00532310" w:rsidRPr="00000F0F">
        <w:rPr>
          <w:rFonts w:eastAsia="Batang"/>
          <w:color w:val="0D0D0D" w:themeColor="text1" w:themeTint="F2"/>
        </w:rPr>
        <w:t>ë</w:t>
      </w:r>
      <w:r w:rsidR="00CC728C" w:rsidRPr="00000F0F">
        <w:rPr>
          <w:rFonts w:eastAsia="Batang"/>
          <w:color w:val="0D0D0D" w:themeColor="text1" w:themeTint="F2"/>
        </w:rPr>
        <w:t>rbime</w:t>
      </w:r>
      <w:r w:rsidR="00532310" w:rsidRPr="00000F0F">
        <w:rPr>
          <w:rFonts w:eastAsia="Batang"/>
          <w:color w:val="0D0D0D" w:themeColor="text1" w:themeTint="F2"/>
        </w:rPr>
        <w:t xml:space="preserve"> </w:t>
      </w:r>
      <w:r w:rsidR="00CC728C" w:rsidRPr="00000F0F">
        <w:rPr>
          <w:rFonts w:eastAsia="Batang"/>
          <w:color w:val="0D0D0D" w:themeColor="text1" w:themeTint="F2"/>
        </w:rPr>
        <w:t>t</w:t>
      </w:r>
      <w:r w:rsidR="00532310" w:rsidRPr="00000F0F">
        <w:rPr>
          <w:rFonts w:eastAsia="Batang"/>
          <w:color w:val="0D0D0D" w:themeColor="text1" w:themeTint="F2"/>
        </w:rPr>
        <w:t>ë</w:t>
      </w:r>
      <w:r w:rsidR="00CC728C" w:rsidRPr="00000F0F">
        <w:rPr>
          <w:rFonts w:eastAsia="Batang"/>
          <w:color w:val="0D0D0D" w:themeColor="text1" w:themeTint="F2"/>
        </w:rPr>
        <w:t xml:space="preserve"> deznfektimit n</w:t>
      </w:r>
      <w:r w:rsidR="00532310" w:rsidRPr="00000F0F">
        <w:rPr>
          <w:rFonts w:eastAsia="Batang"/>
          <w:color w:val="0D0D0D" w:themeColor="text1" w:themeTint="F2"/>
        </w:rPr>
        <w:t>ë situatë</w:t>
      </w:r>
      <w:r w:rsidR="00CC728C" w:rsidRPr="00000F0F">
        <w:rPr>
          <w:rFonts w:eastAsia="Batang"/>
          <w:color w:val="0D0D0D" w:themeColor="text1" w:themeTint="F2"/>
        </w:rPr>
        <w:t>n covid-19</w:t>
      </w:r>
    </w:p>
    <w:p w:rsidR="00CC728C" w:rsidRPr="00000F0F" w:rsidRDefault="00CC728C" w:rsidP="00000F0F">
      <w:pPr>
        <w:numPr>
          <w:ilvl w:val="1"/>
          <w:numId w:val="2"/>
        </w:numPr>
        <w:tabs>
          <w:tab w:val="clear" w:pos="786"/>
          <w:tab w:val="num" w:pos="1440"/>
        </w:tabs>
        <w:spacing w:line="276" w:lineRule="auto"/>
        <w:ind w:left="1440"/>
        <w:jc w:val="both"/>
        <w:rPr>
          <w:color w:val="0D0D0D" w:themeColor="text1" w:themeTint="F2"/>
        </w:rPr>
      </w:pPr>
      <w:r w:rsidRPr="00000F0F">
        <w:rPr>
          <w:color w:val="0D0D0D" w:themeColor="text1" w:themeTint="F2"/>
        </w:rPr>
        <w:t xml:space="preserve">Shpenzime të </w:t>
      </w:r>
      <w:r w:rsidR="00E7408C" w:rsidRPr="00000F0F">
        <w:rPr>
          <w:color w:val="0D0D0D" w:themeColor="text1" w:themeTint="F2"/>
        </w:rPr>
        <w:t xml:space="preserve">tjera mirëmbajtje/furnizime, e </w:t>
      </w:r>
      <w:r w:rsidRPr="00000F0F">
        <w:rPr>
          <w:color w:val="0D0D0D" w:themeColor="text1" w:themeTint="F2"/>
        </w:rPr>
        <w:t>të tjera shërbime bazë</w:t>
      </w:r>
      <w:r w:rsidR="0068030E" w:rsidRPr="00000F0F">
        <w:rPr>
          <w:color w:val="0D0D0D" w:themeColor="text1" w:themeTint="F2"/>
        </w:rPr>
        <w:t xml:space="preserve"> te fuksionimit </w:t>
      </w:r>
    </w:p>
    <w:p w:rsidR="00D133F4" w:rsidRPr="00000F0F" w:rsidRDefault="00D133F4" w:rsidP="00000F0F">
      <w:pPr>
        <w:numPr>
          <w:ilvl w:val="1"/>
          <w:numId w:val="2"/>
        </w:numPr>
        <w:tabs>
          <w:tab w:val="clear" w:pos="786"/>
          <w:tab w:val="num" w:pos="1440"/>
        </w:tabs>
        <w:spacing w:line="276" w:lineRule="auto"/>
        <w:ind w:left="1440"/>
        <w:jc w:val="both"/>
        <w:rPr>
          <w:color w:val="0D0D0D" w:themeColor="text1" w:themeTint="F2"/>
        </w:rPr>
      </w:pPr>
      <w:r w:rsidRPr="00000F0F">
        <w:t xml:space="preserve">Në infrastrukturën informatike të KDIMDP-së, janë  implementuar sisteme/platforma/ software të ndryshme   për mbrojtjen e komunikimit elektronik (e-maile) </w:t>
      </w:r>
      <w:r w:rsidR="00282CC7" w:rsidRPr="00000F0F">
        <w:t>apo komunikimin me jashtë ( REKPDI/pyet shtetin)   të</w:t>
      </w:r>
      <w:r w:rsidRPr="00000F0F">
        <w:t xml:space="preserve"> cila</w:t>
      </w:r>
      <w:r w:rsidR="00282CC7" w:rsidRPr="00000F0F">
        <w:t>t</w:t>
      </w:r>
      <w:r w:rsidRPr="00000F0F">
        <w:t xml:space="preserve"> </w:t>
      </w:r>
      <w:r w:rsidR="00282CC7" w:rsidRPr="00000F0F">
        <w:t xml:space="preserve"> </w:t>
      </w:r>
      <w:r w:rsidRPr="00000F0F">
        <w:t>funksiono</w:t>
      </w:r>
      <w:r w:rsidR="00282CC7" w:rsidRPr="00000F0F">
        <w:t>j</w:t>
      </w:r>
      <w:r w:rsidRPr="00000F0F">
        <w:t>n nën një licencë</w:t>
      </w:r>
      <w:r w:rsidR="00282CC7" w:rsidRPr="00000F0F">
        <w:t xml:space="preserve"> dhe mirëmbajtje rutin</w:t>
      </w:r>
      <w:r w:rsidR="00DA055D" w:rsidRPr="00000F0F">
        <w:t>ë</w:t>
      </w:r>
      <w:r w:rsidR="00282CC7" w:rsidRPr="00000F0F">
        <w:t xml:space="preserve"> periodike vjetore. </w:t>
      </w:r>
      <w:r w:rsidRPr="00000F0F">
        <w:t xml:space="preserve"> Prokurimi i rinovimit të licencave </w:t>
      </w:r>
      <w:r w:rsidR="00282CC7" w:rsidRPr="00000F0F">
        <w:t>dhe updateve i</w:t>
      </w:r>
      <w:r w:rsidRPr="00000F0F">
        <w:t xml:space="preserve"> ka shërbyer </w:t>
      </w:r>
      <w:r w:rsidR="00282CC7" w:rsidRPr="00000F0F">
        <w:t>KDIMDP</w:t>
      </w:r>
      <w:r w:rsidRPr="00000F0F">
        <w:t xml:space="preserve">-së për funksionimin optimal të pajisjeve të teknologjisë së informacionit, rritjen e sigurisë së rrjetit si dhe lehtësimin e punës së përdoruesve të infrastrukturës teknologjike të </w:t>
      </w:r>
      <w:r w:rsidR="00282CC7" w:rsidRPr="00000F0F">
        <w:t>saj</w:t>
      </w:r>
    </w:p>
    <w:p w:rsidR="00D133F4" w:rsidRPr="00000F0F" w:rsidRDefault="00D133F4" w:rsidP="00000F0F">
      <w:pPr>
        <w:spacing w:line="276" w:lineRule="auto"/>
        <w:ind w:left="1080"/>
        <w:jc w:val="both"/>
        <w:rPr>
          <w:color w:val="0D0D0D" w:themeColor="text1" w:themeTint="F2"/>
        </w:rPr>
      </w:pPr>
    </w:p>
    <w:p w:rsidR="0068030E" w:rsidRPr="00000F0F" w:rsidRDefault="0068030E" w:rsidP="00000F0F">
      <w:pPr>
        <w:numPr>
          <w:ilvl w:val="1"/>
          <w:numId w:val="2"/>
        </w:numPr>
        <w:tabs>
          <w:tab w:val="clear" w:pos="786"/>
          <w:tab w:val="num" w:pos="1440"/>
        </w:tabs>
        <w:spacing w:line="276" w:lineRule="auto"/>
        <w:ind w:left="1440"/>
        <w:jc w:val="both"/>
        <w:rPr>
          <w:color w:val="0D0D0D" w:themeColor="text1" w:themeTint="F2"/>
        </w:rPr>
      </w:pPr>
      <w:r w:rsidRPr="00000F0F">
        <w:rPr>
          <w:color w:val="0D0D0D" w:themeColor="text1" w:themeTint="F2"/>
        </w:rPr>
        <w:t xml:space="preserve">Shpenzime administrative </w:t>
      </w:r>
      <w:r w:rsidRPr="00000F0F">
        <w:rPr>
          <w:rFonts w:eastAsia="Calibri"/>
        </w:rPr>
        <w:t xml:space="preserve">për mbulimin financiar të aktiviteteve të shtuara, si rezultat i  </w:t>
      </w:r>
      <w:r w:rsidRPr="00000F0F">
        <w:t>funksioneve dhe kompetencave shtesë të Zyrës së Komisionerit, por edhe për shkak të rëndësisë dhe intensitetit   të takimeve  jashtë vendit në kuadër të procesit të integrimit evropian.</w:t>
      </w:r>
    </w:p>
    <w:p w:rsidR="00CC728C" w:rsidRPr="00000F0F" w:rsidRDefault="00CC728C" w:rsidP="00000F0F">
      <w:pPr>
        <w:spacing w:line="276" w:lineRule="auto"/>
        <w:ind w:left="1080"/>
        <w:jc w:val="both"/>
        <w:rPr>
          <w:color w:val="0D0D0D" w:themeColor="text1" w:themeTint="F2"/>
        </w:rPr>
      </w:pPr>
    </w:p>
    <w:p w:rsidR="00DA055D" w:rsidRPr="00000F0F" w:rsidRDefault="00CC728C" w:rsidP="00000F0F">
      <w:pPr>
        <w:pStyle w:val="ListParagraph"/>
        <w:numPr>
          <w:ilvl w:val="0"/>
          <w:numId w:val="31"/>
        </w:numPr>
        <w:jc w:val="both"/>
        <w:rPr>
          <w:rFonts w:ascii="Times New Roman" w:hAnsi="Times New Roman"/>
          <w:color w:val="0D0D0D"/>
          <w:sz w:val="24"/>
          <w:szCs w:val="24"/>
        </w:rPr>
      </w:pPr>
      <w:r w:rsidRPr="00000F0F">
        <w:rPr>
          <w:rFonts w:ascii="Times New Roman" w:eastAsia="Batang" w:hAnsi="Times New Roman"/>
          <w:b/>
          <w:bCs/>
          <w:i/>
          <w:sz w:val="24"/>
          <w:szCs w:val="24"/>
          <w:u w:val="single"/>
        </w:rPr>
        <w:lastRenderedPageBreak/>
        <w:t xml:space="preserve">Fondi për shpenzime investime </w:t>
      </w:r>
      <w:r w:rsidRPr="00000F0F">
        <w:rPr>
          <w:rFonts w:ascii="Times New Roman" w:eastAsia="Batang" w:hAnsi="Times New Roman"/>
          <w:b/>
          <w:i/>
          <w:sz w:val="24"/>
          <w:szCs w:val="24"/>
        </w:rPr>
        <w:t>(zëri 231</w:t>
      </w:r>
      <w:r w:rsidRPr="00000F0F">
        <w:rPr>
          <w:rFonts w:ascii="Times New Roman" w:eastAsia="Batang" w:hAnsi="Times New Roman"/>
          <w:b/>
          <w:sz w:val="24"/>
          <w:szCs w:val="24"/>
        </w:rPr>
        <w:t xml:space="preserve">), </w:t>
      </w:r>
      <w:r w:rsidR="0068030E" w:rsidRPr="00000F0F">
        <w:rPr>
          <w:rFonts w:ascii="Times New Roman" w:hAnsi="Times New Roman"/>
          <w:color w:val="0D0D0D"/>
          <w:sz w:val="24"/>
          <w:szCs w:val="24"/>
        </w:rPr>
        <w:t xml:space="preserve">në zbatim të ligjit nr. 115/2021 “Për buxhetin e vitit 2022”,  fondet e akorduara për Zyrën e Komisionerit, në total u miratuan në vlerën </w:t>
      </w:r>
      <w:r w:rsidR="0068030E" w:rsidRPr="00000F0F">
        <w:rPr>
          <w:rFonts w:ascii="Times New Roman" w:hAnsi="Times New Roman"/>
          <w:bCs/>
          <w:iCs/>
          <w:color w:val="0D0D0D"/>
          <w:sz w:val="24"/>
          <w:szCs w:val="24"/>
          <w:lang w:val="pt-BR"/>
        </w:rPr>
        <w:t>6</w:t>
      </w:r>
      <w:r w:rsidR="00D133F4" w:rsidRPr="00000F0F">
        <w:rPr>
          <w:rFonts w:ascii="Times New Roman" w:hAnsi="Times New Roman"/>
          <w:bCs/>
          <w:iCs/>
          <w:color w:val="0D0D0D"/>
          <w:sz w:val="24"/>
          <w:szCs w:val="24"/>
          <w:lang w:val="pt-BR"/>
        </w:rPr>
        <w:t>.</w:t>
      </w:r>
      <w:r w:rsidR="0068030E" w:rsidRPr="00000F0F">
        <w:rPr>
          <w:rFonts w:ascii="Times New Roman" w:hAnsi="Times New Roman"/>
          <w:bCs/>
          <w:iCs/>
          <w:color w:val="0D0D0D"/>
          <w:sz w:val="24"/>
          <w:szCs w:val="24"/>
          <w:lang w:val="pt-BR"/>
        </w:rPr>
        <w:t xml:space="preserve">500 </w:t>
      </w:r>
      <w:r w:rsidR="0068030E" w:rsidRPr="00000F0F">
        <w:rPr>
          <w:rFonts w:ascii="Times New Roman" w:hAnsi="Times New Roman"/>
          <w:b/>
          <w:bCs/>
          <w:i/>
          <w:iCs/>
          <w:color w:val="0D0D0D"/>
          <w:sz w:val="24"/>
          <w:szCs w:val="24"/>
          <w:lang w:val="pt-BR"/>
        </w:rPr>
        <w:t> </w:t>
      </w:r>
      <w:r w:rsidR="0068030E" w:rsidRPr="00000F0F">
        <w:rPr>
          <w:rFonts w:ascii="Times New Roman" w:hAnsi="Times New Roman"/>
          <w:color w:val="0D0D0D"/>
          <w:sz w:val="24"/>
          <w:szCs w:val="24"/>
        </w:rPr>
        <w:t>(</w:t>
      </w:r>
      <w:r w:rsidR="00DA055D" w:rsidRPr="00000F0F">
        <w:rPr>
          <w:rFonts w:ascii="Times New Roman" w:hAnsi="Times New Roman"/>
          <w:color w:val="0D0D0D"/>
          <w:sz w:val="24"/>
          <w:szCs w:val="24"/>
        </w:rPr>
        <w:t xml:space="preserve"> në </w:t>
      </w:r>
      <w:r w:rsidR="0068030E" w:rsidRPr="00000F0F">
        <w:rPr>
          <w:rFonts w:ascii="Times New Roman" w:hAnsi="Times New Roman"/>
          <w:color w:val="0D0D0D"/>
          <w:sz w:val="24"/>
          <w:szCs w:val="24"/>
        </w:rPr>
        <w:t>mijë lekë)</w:t>
      </w:r>
      <w:r w:rsidR="00DA055D" w:rsidRPr="00000F0F">
        <w:rPr>
          <w:rFonts w:ascii="Times New Roman" w:hAnsi="Times New Roman"/>
          <w:color w:val="0D0D0D"/>
          <w:sz w:val="24"/>
          <w:szCs w:val="24"/>
        </w:rPr>
        <w:t xml:space="preserve"> në projektet sa më poshtë: </w:t>
      </w:r>
    </w:p>
    <w:p w:rsidR="00DA055D" w:rsidRPr="00000F0F" w:rsidRDefault="00DA055D" w:rsidP="00000F0F">
      <w:pPr>
        <w:pStyle w:val="ListParagraph"/>
        <w:jc w:val="both"/>
        <w:rPr>
          <w:rFonts w:ascii="Times New Roman" w:hAnsi="Times New Roman"/>
          <w:color w:val="0D0D0D"/>
          <w:sz w:val="24"/>
          <w:szCs w:val="24"/>
        </w:rPr>
      </w:pPr>
    </w:p>
    <w:p w:rsidR="00DA055D" w:rsidRPr="00000F0F" w:rsidRDefault="00DA055D" w:rsidP="00000F0F">
      <w:pPr>
        <w:pStyle w:val="ListParagraph"/>
        <w:numPr>
          <w:ilvl w:val="0"/>
          <w:numId w:val="35"/>
        </w:numPr>
        <w:jc w:val="both"/>
        <w:rPr>
          <w:rFonts w:ascii="Times New Roman" w:hAnsi="Times New Roman"/>
          <w:color w:val="0D0D0D"/>
          <w:sz w:val="24"/>
          <w:szCs w:val="24"/>
        </w:rPr>
      </w:pPr>
      <w:r w:rsidRPr="00000F0F">
        <w:rPr>
          <w:rFonts w:ascii="Times New Roman" w:eastAsia="Batang" w:hAnsi="Times New Roman"/>
          <w:sz w:val="24"/>
          <w:szCs w:val="24"/>
        </w:rPr>
        <w:t>Projekti 18 AD  102 me emërtesën: Blerje Pajisje zyre/instrumente/vegla, kompjuterike/elektronike në masën 1.000 ( në mijë ) lekë</w:t>
      </w:r>
    </w:p>
    <w:p w:rsidR="00DA055D" w:rsidRPr="00000F0F" w:rsidRDefault="00DA055D" w:rsidP="00000F0F">
      <w:pPr>
        <w:pStyle w:val="ListParagraph"/>
        <w:numPr>
          <w:ilvl w:val="0"/>
          <w:numId w:val="35"/>
        </w:numPr>
        <w:jc w:val="both"/>
        <w:rPr>
          <w:rFonts w:ascii="Times New Roman" w:hAnsi="Times New Roman"/>
          <w:color w:val="0D0D0D"/>
          <w:sz w:val="24"/>
          <w:szCs w:val="24"/>
        </w:rPr>
      </w:pPr>
      <w:r w:rsidRPr="00000F0F">
        <w:rPr>
          <w:rFonts w:ascii="Times New Roman" w:hAnsi="Times New Roman"/>
          <w:color w:val="0D0D0D" w:themeColor="text1" w:themeTint="F2"/>
          <w:sz w:val="24"/>
          <w:szCs w:val="24"/>
        </w:rPr>
        <w:t>Projekti M890005 me emertesën “Regjistrin elektronik i thirrjeve të pakërkuara”,  akorduar  në fillim vit në vleren 5.500 ( në mijë ) lekë  është  çelur i ngrirë nga MFE me arsyetimin e mospërfshirjes dhe hedhjes së të dhënave në AFMIS,</w:t>
      </w:r>
    </w:p>
    <w:p w:rsidR="00DA055D" w:rsidRPr="00000F0F" w:rsidRDefault="00DA055D" w:rsidP="00000F0F">
      <w:pPr>
        <w:spacing w:line="276" w:lineRule="auto"/>
        <w:jc w:val="both"/>
        <w:rPr>
          <w:rFonts w:eastAsia="Batang"/>
        </w:rPr>
      </w:pPr>
      <w:r w:rsidRPr="00000F0F">
        <w:rPr>
          <w:color w:val="0D0D0D"/>
        </w:rPr>
        <w:t xml:space="preserve"> </w:t>
      </w:r>
      <w:r w:rsidRPr="00000F0F">
        <w:rPr>
          <w:color w:val="0D0D0D" w:themeColor="text1" w:themeTint="F2"/>
        </w:rPr>
        <w:t xml:space="preserve">Nisur nga nevoja për fonde shtesë në </w:t>
      </w:r>
      <w:r w:rsidRPr="00000F0F">
        <w:t xml:space="preserve">ofrimin e mbështetjes në pajisje të domosdoshme si blerja e kompjuterëve apo pajisjeve të tjera të zyrës dhe sigurisë ( amortizimi  i pajisjeve egzistuese,  shtimi  i numrit të punonjësve por edhe arsyet e mospërdorimit  të fondit në Projektin M890005, deri në fundvit)  MFE nëpërmjet Aktit  Normativ Nr. 17, datë 01.12.2022 ndryshoi destinacionin e përdorimit por edhe pakësoi fondin e investimeve në vlerën  2.000 ( në mijë lekë).    </w:t>
      </w:r>
    </w:p>
    <w:p w:rsidR="00DA055D" w:rsidRPr="00000F0F" w:rsidRDefault="00DA055D" w:rsidP="00000F0F">
      <w:pPr>
        <w:spacing w:line="276" w:lineRule="auto"/>
        <w:jc w:val="both"/>
        <w:rPr>
          <w:rFonts w:eastAsia="Batang"/>
        </w:rPr>
      </w:pPr>
      <w:r w:rsidRPr="00000F0F">
        <w:rPr>
          <w:color w:val="0D0D0D"/>
        </w:rPr>
        <w:t xml:space="preserve">Me ndryshimet  e ndodhura, projekti </w:t>
      </w:r>
      <w:r w:rsidRPr="00000F0F">
        <w:rPr>
          <w:rFonts w:eastAsia="Batang"/>
        </w:rPr>
        <w:t>18 AD  102</w:t>
      </w:r>
      <w:r w:rsidRPr="00000F0F">
        <w:rPr>
          <w:rFonts w:eastAsia="Calibri"/>
          <w:color w:val="0D0D0D"/>
        </w:rPr>
        <w:t xml:space="preserve">, shkoi  në vlerën </w:t>
      </w:r>
      <w:r w:rsidRPr="00000F0F">
        <w:rPr>
          <w:rFonts w:eastAsia="Batang"/>
        </w:rPr>
        <w:t xml:space="preserve">4.500 ( në mijë ) lekë dhe  u realizua  në masën 4 412  (në mijë) lekë, përkundrejt atij të planifikuar ose në masën 98 %. </w:t>
      </w:r>
    </w:p>
    <w:p w:rsidR="00D17532" w:rsidRPr="00000F0F" w:rsidRDefault="00DA055D" w:rsidP="00000F0F">
      <w:pPr>
        <w:spacing w:line="276" w:lineRule="auto"/>
        <w:jc w:val="both"/>
        <w:rPr>
          <w:color w:val="0D0D0D" w:themeColor="text1" w:themeTint="F2"/>
        </w:rPr>
      </w:pPr>
      <w:r w:rsidRPr="00000F0F">
        <w:rPr>
          <w:rFonts w:eastAsia="Batang"/>
        </w:rPr>
        <w:t xml:space="preserve"> </w:t>
      </w:r>
      <w:r w:rsidR="0068030E" w:rsidRPr="00000F0F">
        <w:rPr>
          <w:color w:val="0D0D0D" w:themeColor="text1" w:themeTint="F2"/>
        </w:rPr>
        <w:t xml:space="preserve">Projekti M890008 me emertesën </w:t>
      </w:r>
      <w:r w:rsidR="00D133F4" w:rsidRPr="00000F0F">
        <w:rPr>
          <w:color w:val="0D0D0D" w:themeColor="text1" w:themeTint="F2"/>
        </w:rPr>
        <w:t>“</w:t>
      </w:r>
      <w:r w:rsidR="00CC728C" w:rsidRPr="00000F0F">
        <w:rPr>
          <w:color w:val="0D0D0D" w:themeColor="text1" w:themeTint="F2"/>
        </w:rPr>
        <w:t xml:space="preserve">Regjistrin elektronik </w:t>
      </w:r>
      <w:r w:rsidR="00D133F4" w:rsidRPr="00000F0F">
        <w:rPr>
          <w:color w:val="0D0D0D" w:themeColor="text1" w:themeTint="F2"/>
        </w:rPr>
        <w:t>i</w:t>
      </w:r>
      <w:r w:rsidR="00CC728C" w:rsidRPr="00000F0F">
        <w:rPr>
          <w:color w:val="0D0D0D" w:themeColor="text1" w:themeTint="F2"/>
        </w:rPr>
        <w:t xml:space="preserve"> thirrjeve të pa</w:t>
      </w:r>
      <w:r w:rsidR="00D133F4" w:rsidRPr="00000F0F">
        <w:rPr>
          <w:color w:val="0D0D0D" w:themeColor="text1" w:themeTint="F2"/>
        </w:rPr>
        <w:t xml:space="preserve">kërkuara” akorduar  </w:t>
      </w:r>
      <w:r w:rsidR="00D17532" w:rsidRPr="00000F0F">
        <w:rPr>
          <w:color w:val="0D0D0D" w:themeColor="text1" w:themeTint="F2"/>
        </w:rPr>
        <w:t>n</w:t>
      </w:r>
      <w:r w:rsidR="00D133F4" w:rsidRPr="00000F0F">
        <w:rPr>
          <w:color w:val="0D0D0D" w:themeColor="text1" w:themeTint="F2"/>
        </w:rPr>
        <w:t>ë</w:t>
      </w:r>
      <w:r w:rsidR="00D17532" w:rsidRPr="00000F0F">
        <w:rPr>
          <w:color w:val="0D0D0D" w:themeColor="text1" w:themeTint="F2"/>
        </w:rPr>
        <w:t xml:space="preserve"> fillim vit</w:t>
      </w:r>
      <w:r w:rsidR="00D133F4" w:rsidRPr="00000F0F">
        <w:rPr>
          <w:color w:val="0D0D0D" w:themeColor="text1" w:themeTint="F2"/>
        </w:rPr>
        <w:t xml:space="preserve"> në vler</w:t>
      </w:r>
      <w:r w:rsidRPr="00000F0F">
        <w:rPr>
          <w:color w:val="0D0D0D" w:themeColor="text1" w:themeTint="F2"/>
        </w:rPr>
        <w:t xml:space="preserve">ën 5.500 ( në mijë ) lekë, </w:t>
      </w:r>
      <w:r w:rsidR="005D22D9" w:rsidRPr="00000F0F">
        <w:rPr>
          <w:color w:val="0D0D0D" w:themeColor="text1" w:themeTint="F2"/>
        </w:rPr>
        <w:t xml:space="preserve"> nuk </w:t>
      </w:r>
      <w:r w:rsidR="00D17532" w:rsidRPr="00000F0F">
        <w:rPr>
          <w:color w:val="0D0D0D" w:themeColor="text1" w:themeTint="F2"/>
        </w:rPr>
        <w:t xml:space="preserve">u realizua </w:t>
      </w:r>
      <w:r w:rsidR="005D22D9" w:rsidRPr="00000F0F">
        <w:rPr>
          <w:color w:val="0D0D0D" w:themeColor="text1" w:themeTint="F2"/>
        </w:rPr>
        <w:t xml:space="preserve"> </w:t>
      </w:r>
      <w:r w:rsidRPr="00000F0F">
        <w:rPr>
          <w:color w:val="0D0D0D" w:themeColor="text1" w:themeTint="F2"/>
        </w:rPr>
        <w:t xml:space="preserve">për shkak te vonesave </w:t>
      </w:r>
      <w:r w:rsidR="00C72C35" w:rsidRPr="00000F0F">
        <w:rPr>
          <w:color w:val="0D0D0D" w:themeColor="text1" w:themeTint="F2"/>
        </w:rPr>
        <w:t xml:space="preserve"> </w:t>
      </w:r>
      <w:r w:rsidRPr="00000F0F">
        <w:rPr>
          <w:color w:val="0D0D0D" w:themeColor="text1" w:themeTint="F2"/>
        </w:rPr>
        <w:t>t</w:t>
      </w:r>
      <w:r w:rsidR="00C72C35" w:rsidRPr="00000F0F">
        <w:rPr>
          <w:color w:val="0D0D0D" w:themeColor="text1" w:themeTint="F2"/>
        </w:rPr>
        <w:t>ë miratimi</w:t>
      </w:r>
      <w:r w:rsidRPr="00000F0F">
        <w:rPr>
          <w:color w:val="0D0D0D" w:themeColor="text1" w:themeTint="F2"/>
        </w:rPr>
        <w:t>t</w:t>
      </w:r>
      <w:r w:rsidR="00C72C35" w:rsidRPr="00000F0F">
        <w:rPr>
          <w:color w:val="0D0D0D" w:themeColor="text1" w:themeTint="F2"/>
        </w:rPr>
        <w:t xml:space="preserve"> </w:t>
      </w:r>
      <w:r w:rsidRPr="00000F0F">
        <w:rPr>
          <w:color w:val="0D0D0D" w:themeColor="text1" w:themeTint="F2"/>
        </w:rPr>
        <w:t>të</w:t>
      </w:r>
      <w:r w:rsidR="00C72C35" w:rsidRPr="00000F0F">
        <w:rPr>
          <w:color w:val="0D0D0D" w:themeColor="text1" w:themeTint="F2"/>
        </w:rPr>
        <w:t xml:space="preserve"> legjislacionit të ri të mbrojtjes së të dhënave personale, për të cilin </w:t>
      </w:r>
      <w:r w:rsidRPr="00000F0F">
        <w:rPr>
          <w:color w:val="0D0D0D" w:themeColor="text1" w:themeTint="F2"/>
        </w:rPr>
        <w:t>edhe ishte destinuar p</w:t>
      </w:r>
      <w:r w:rsidR="002A3C97" w:rsidRPr="00000F0F">
        <w:rPr>
          <w:color w:val="0D0D0D" w:themeColor="text1" w:themeTint="F2"/>
        </w:rPr>
        <w:t>ë</w:t>
      </w:r>
      <w:r w:rsidRPr="00000F0F">
        <w:rPr>
          <w:color w:val="0D0D0D" w:themeColor="text1" w:themeTint="F2"/>
        </w:rPr>
        <w:t>r p</w:t>
      </w:r>
      <w:r w:rsidR="002A3C97" w:rsidRPr="00000F0F">
        <w:rPr>
          <w:color w:val="0D0D0D" w:themeColor="text1" w:themeTint="F2"/>
        </w:rPr>
        <w:t>ë</w:t>
      </w:r>
      <w:r w:rsidRPr="00000F0F">
        <w:rPr>
          <w:color w:val="0D0D0D" w:themeColor="text1" w:themeTint="F2"/>
        </w:rPr>
        <w:t xml:space="preserve">rdorim. </w:t>
      </w:r>
    </w:p>
    <w:p w:rsidR="002A3C97" w:rsidRPr="00000F0F" w:rsidRDefault="002A3C97" w:rsidP="00000F0F">
      <w:pPr>
        <w:spacing w:line="276" w:lineRule="auto"/>
        <w:jc w:val="both"/>
        <w:rPr>
          <w:rFonts w:eastAsia="Batang"/>
        </w:rPr>
      </w:pPr>
    </w:p>
    <w:p w:rsidR="00321213" w:rsidRPr="00000F0F" w:rsidRDefault="002A3C97" w:rsidP="00000F0F">
      <w:pPr>
        <w:spacing w:after="40" w:line="276" w:lineRule="auto"/>
        <w:jc w:val="both"/>
      </w:pPr>
      <w:r w:rsidRPr="00000F0F">
        <w:rPr>
          <w:color w:val="0D0D0D" w:themeColor="text1" w:themeTint="F2"/>
        </w:rPr>
        <w:t>Me</w:t>
      </w:r>
      <w:r w:rsidR="00282CC7" w:rsidRPr="00000F0F">
        <w:t xml:space="preserve"> Akti</w:t>
      </w:r>
      <w:r w:rsidRPr="00000F0F">
        <w:t>n</w:t>
      </w:r>
      <w:r w:rsidR="00282CC7" w:rsidRPr="00000F0F">
        <w:t xml:space="preserve">  Normativ </w:t>
      </w:r>
      <w:r w:rsidR="00D133F4" w:rsidRPr="00000F0F">
        <w:t xml:space="preserve">Nr. 17, datë 01.12.2022 ndryshoi </w:t>
      </w:r>
      <w:r w:rsidR="00282CC7" w:rsidRPr="00000F0F">
        <w:t>destinacioni</w:t>
      </w:r>
      <w:r w:rsidRPr="00000F0F">
        <w:t xml:space="preserve"> </w:t>
      </w:r>
      <w:r w:rsidR="00282CC7" w:rsidRPr="00000F0F">
        <w:t xml:space="preserve"> </w:t>
      </w:r>
      <w:r w:rsidRPr="00000F0F">
        <w:t>i</w:t>
      </w:r>
      <w:r w:rsidR="00282CC7" w:rsidRPr="00000F0F">
        <w:t xml:space="preserve"> p</w:t>
      </w:r>
      <w:r w:rsidRPr="00000F0F">
        <w:t xml:space="preserve">ërdorimit, duke e alokuar një pjesë në projektin egzistues  18 AD 102, në vlerën 3.500 (në mijë lekë) ndërsa  u </w:t>
      </w:r>
      <w:r w:rsidR="00282CC7" w:rsidRPr="00000F0F">
        <w:t xml:space="preserve"> </w:t>
      </w:r>
      <w:r w:rsidR="00D133F4" w:rsidRPr="00000F0F">
        <w:t>pakës</w:t>
      </w:r>
      <w:r w:rsidRPr="00000F0F">
        <w:t xml:space="preserve">ua </w:t>
      </w:r>
      <w:r w:rsidR="00D133F4" w:rsidRPr="00000F0F">
        <w:t xml:space="preserve"> </w:t>
      </w:r>
      <w:r w:rsidR="00282CC7" w:rsidRPr="00000F0F">
        <w:t xml:space="preserve">në vlerën </w:t>
      </w:r>
      <w:r w:rsidR="00D133F4" w:rsidRPr="00000F0F">
        <w:t xml:space="preserve"> 2.000 ( në mijë lekë</w:t>
      </w:r>
      <w:r w:rsidRPr="00000F0F">
        <w:t xml:space="preserve">).  </w:t>
      </w:r>
      <w:r w:rsidR="00D133F4" w:rsidRPr="00000F0F">
        <w:t xml:space="preserve">   </w:t>
      </w:r>
      <w:r w:rsidR="00282CC7" w:rsidRPr="00000F0F">
        <w:t xml:space="preserve"> </w:t>
      </w:r>
    </w:p>
    <w:p w:rsidR="00282CC7" w:rsidRPr="00000F0F" w:rsidRDefault="00282CC7" w:rsidP="00000F0F">
      <w:pPr>
        <w:spacing w:line="276" w:lineRule="auto"/>
        <w:jc w:val="both"/>
        <w:rPr>
          <w:rFonts w:eastAsia="Batang"/>
          <w:b/>
        </w:rPr>
      </w:pPr>
    </w:p>
    <w:p w:rsidR="00CE26A1" w:rsidRPr="00000F0F" w:rsidRDefault="00BC2353" w:rsidP="00000F0F">
      <w:pPr>
        <w:spacing w:line="276" w:lineRule="auto"/>
        <w:jc w:val="both"/>
        <w:rPr>
          <w:rFonts w:eastAsia="Batang"/>
        </w:rPr>
      </w:pPr>
      <w:r w:rsidRPr="00000F0F">
        <w:rPr>
          <w:rFonts w:eastAsia="Batang"/>
          <w:b/>
        </w:rPr>
        <w:t xml:space="preserve">Në Aneksin nr. 3 </w:t>
      </w:r>
      <w:r w:rsidRPr="00000F0F">
        <w:rPr>
          <w:rFonts w:eastAsia="Batang"/>
        </w:rPr>
        <w:t xml:space="preserve">është paraqitur realizimi i treguesve të performancës/produkteve </w:t>
      </w:r>
      <w:r w:rsidR="00532310" w:rsidRPr="00000F0F">
        <w:rPr>
          <w:rFonts w:eastAsia="Batang"/>
        </w:rPr>
        <w:t xml:space="preserve">                                      </w:t>
      </w:r>
      <w:r w:rsidRPr="00000F0F">
        <w:rPr>
          <w:rFonts w:eastAsia="Batang"/>
        </w:rPr>
        <w:t>(në sasi dhe vlerë) në z</w:t>
      </w:r>
      <w:r w:rsidR="00BB2EF3" w:rsidRPr="00000F0F">
        <w:rPr>
          <w:rFonts w:eastAsia="Batang"/>
        </w:rPr>
        <w:t>batim të objektivave për viti</w:t>
      </w:r>
      <w:r w:rsidR="00BA2D34" w:rsidRPr="00000F0F">
        <w:rPr>
          <w:rFonts w:eastAsia="Batang"/>
        </w:rPr>
        <w:t>n</w:t>
      </w:r>
      <w:r w:rsidR="00BB2EF3" w:rsidRPr="00000F0F">
        <w:rPr>
          <w:rFonts w:eastAsia="Batang"/>
        </w:rPr>
        <w:t xml:space="preserve"> </w:t>
      </w:r>
      <w:r w:rsidRPr="00000F0F">
        <w:rPr>
          <w:rFonts w:eastAsia="Batang"/>
        </w:rPr>
        <w:t>202</w:t>
      </w:r>
      <w:r w:rsidR="00CC728C" w:rsidRPr="00000F0F">
        <w:rPr>
          <w:rFonts w:eastAsia="Batang"/>
        </w:rPr>
        <w:t>2</w:t>
      </w:r>
    </w:p>
    <w:p w:rsidR="006560A0" w:rsidRPr="00000F0F" w:rsidRDefault="006560A0" w:rsidP="00000F0F">
      <w:pPr>
        <w:pStyle w:val="ListParagraph"/>
        <w:ind w:left="0"/>
        <w:contextualSpacing w:val="0"/>
        <w:jc w:val="both"/>
        <w:rPr>
          <w:rFonts w:ascii="Times New Roman" w:hAnsi="Times New Roman"/>
          <w:sz w:val="24"/>
          <w:szCs w:val="24"/>
        </w:rPr>
      </w:pPr>
      <w:r w:rsidRPr="00000F0F">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w:t>
      </w:r>
      <w:r w:rsidR="00532310" w:rsidRPr="00000F0F">
        <w:rPr>
          <w:rFonts w:ascii="Times New Roman" w:hAnsi="Times New Roman"/>
          <w:sz w:val="24"/>
          <w:szCs w:val="24"/>
        </w:rPr>
        <w:t xml:space="preserve">lluara si dhe vendimet e dhëna. </w:t>
      </w:r>
      <w:r w:rsidRPr="00000F0F">
        <w:rPr>
          <w:rFonts w:ascii="Times New Roman" w:hAnsi="Times New Roman"/>
          <w:sz w:val="24"/>
          <w:szCs w:val="24"/>
        </w:rPr>
        <w:t>Produktet kryesore janë:</w:t>
      </w:r>
    </w:p>
    <w:p w:rsidR="006560A0" w:rsidRPr="00000F0F" w:rsidRDefault="006560A0" w:rsidP="00000F0F">
      <w:pPr>
        <w:spacing w:after="160" w:line="276" w:lineRule="auto"/>
        <w:jc w:val="both"/>
        <w:rPr>
          <w:color w:val="0D0D0D" w:themeColor="text1" w:themeTint="F2"/>
        </w:rPr>
      </w:pPr>
      <w:r w:rsidRPr="00000F0F">
        <w:rPr>
          <w:rFonts w:eastAsia="Batang"/>
          <w:b/>
          <w:color w:val="0D0D0D" w:themeColor="text1" w:themeTint="F2"/>
        </w:rPr>
        <w:t>Nënprodukti A:</w:t>
      </w:r>
      <w:r w:rsidR="00817046" w:rsidRPr="00000F0F">
        <w:rPr>
          <w:rFonts w:eastAsia="Batang"/>
          <w:b/>
          <w:color w:val="0D0D0D" w:themeColor="text1" w:themeTint="F2"/>
        </w:rPr>
        <w:t xml:space="preserve"> </w:t>
      </w:r>
      <w:r w:rsidRPr="00000F0F">
        <w:rPr>
          <w:b/>
          <w:color w:val="0D0D0D" w:themeColor="text1" w:themeTint="F2"/>
        </w:rPr>
        <w:t>Trajtim i ankesave brenda afateve</w:t>
      </w:r>
      <w:r w:rsidR="00532310" w:rsidRPr="00000F0F">
        <w:rPr>
          <w:color w:val="0D0D0D" w:themeColor="text1" w:themeTint="F2"/>
        </w:rPr>
        <w:t xml:space="preserve"> (kthim përgjigje/inspektime/</w:t>
      </w:r>
      <w:r w:rsidRPr="00000F0F">
        <w:rPr>
          <w:color w:val="0D0D0D" w:themeColor="text1" w:themeTint="F2"/>
        </w:rPr>
        <w:t>vendime, kryesisht në bazë të ankesave</w:t>
      </w:r>
      <w:r w:rsidR="00BB2EF3" w:rsidRPr="00000F0F">
        <w:rPr>
          <w:color w:val="0D0D0D" w:themeColor="text1" w:themeTint="F2"/>
        </w:rPr>
        <w:t xml:space="preserve"> (</w:t>
      </w:r>
      <w:r w:rsidR="007F44D7" w:rsidRPr="00000F0F">
        <w:rPr>
          <w:color w:val="0D0D0D" w:themeColor="text1" w:themeTint="F2"/>
        </w:rPr>
        <w:t>i ndryshuar)</w:t>
      </w:r>
      <w:r w:rsidRPr="00000F0F">
        <w:rPr>
          <w:color w:val="0D0D0D" w:themeColor="text1" w:themeTint="F2"/>
        </w:rPr>
        <w:t xml:space="preserve">, rreth </w:t>
      </w:r>
      <w:r w:rsidR="00C644E9" w:rsidRPr="00000F0F">
        <w:rPr>
          <w:color w:val="0D0D0D" w:themeColor="text1" w:themeTint="F2"/>
        </w:rPr>
        <w:t>1000</w:t>
      </w:r>
      <w:r w:rsidRPr="00000F0F">
        <w:rPr>
          <w:color w:val="0D0D0D" w:themeColor="text1" w:themeTint="F2"/>
        </w:rPr>
        <w:t>+-)</w:t>
      </w:r>
    </w:p>
    <w:p w:rsidR="006560A0" w:rsidRPr="00000F0F" w:rsidRDefault="006560A0" w:rsidP="00000F0F">
      <w:pPr>
        <w:spacing w:after="160" w:line="276" w:lineRule="auto"/>
        <w:jc w:val="both"/>
      </w:pPr>
      <w:r w:rsidRPr="00000F0F">
        <w:t xml:space="preserve">Zyra e Komisionerit ka </w:t>
      </w:r>
      <w:r w:rsidR="00532310" w:rsidRPr="00000F0F">
        <w:t xml:space="preserve">realizuar </w:t>
      </w:r>
      <w:r w:rsidRPr="00000F0F">
        <w:t>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w:t>
      </w:r>
    </w:p>
    <w:p w:rsidR="00BA2D34" w:rsidRPr="00000F0F" w:rsidRDefault="00BA2D34" w:rsidP="00000F0F">
      <w:pPr>
        <w:spacing w:after="160" w:line="276" w:lineRule="auto"/>
        <w:jc w:val="both"/>
        <w:rPr>
          <w:color w:val="0D0D0D" w:themeColor="text1" w:themeTint="F2"/>
        </w:rPr>
      </w:pPr>
      <w:r w:rsidRPr="00000F0F">
        <w:lastRenderedPageBreak/>
        <w:t xml:space="preserve">Zyra e Komisionerit konstaton, se edhe gjatë 2022, ka qëndrueshmëri të numrit të ankesave krahasuar me vitin e kaluar. Në total, autoriteti administroi </w:t>
      </w:r>
      <w:r w:rsidRPr="00000F0F">
        <w:rPr>
          <w:bCs/>
        </w:rPr>
        <w:t>1032</w:t>
      </w:r>
      <w:r w:rsidRPr="00000F0F">
        <w:t xml:space="preserve"> ankesa, si dhe vijoi me shqyrtimin administrativ të 49 procedurave të mbartura nga viti 2021 (gjithsej </w:t>
      </w:r>
      <w:r w:rsidRPr="00000F0F">
        <w:rPr>
          <w:b/>
        </w:rPr>
        <w:t>1081 ankesa</w:t>
      </w:r>
      <w:r w:rsidRPr="00000F0F">
        <w:t xml:space="preserve">), </w:t>
      </w:r>
      <w:r w:rsidR="00043A2F" w:rsidRPr="00000F0F">
        <w:rPr>
          <w:color w:val="0D0D0D" w:themeColor="text1" w:themeTint="F2"/>
        </w:rPr>
        <w:t xml:space="preserve">nga qytetarë, përfaqësues të shoqërisë civile dhe gazetarë investigativë, </w:t>
      </w:r>
      <w:r w:rsidRPr="00000F0F">
        <w:rPr>
          <w:color w:val="0D0D0D" w:themeColor="text1" w:themeTint="F2"/>
        </w:rPr>
        <w:t xml:space="preserve">si dhe avokate, </w:t>
      </w:r>
      <w:r w:rsidR="00A661DA" w:rsidRPr="00000F0F">
        <w:rPr>
          <w:color w:val="0D0D0D" w:themeColor="text1" w:themeTint="F2"/>
          <w:lang w:val="en-US"/>
        </w:rPr>
        <w:t xml:space="preserve">me </w:t>
      </w:r>
      <w:proofErr w:type="spellStart"/>
      <w:r w:rsidR="00A661DA" w:rsidRPr="00000F0F">
        <w:rPr>
          <w:color w:val="0D0D0D" w:themeColor="text1" w:themeTint="F2"/>
          <w:lang w:val="en-US"/>
        </w:rPr>
        <w:t>objekt</w:t>
      </w:r>
      <w:proofErr w:type="spellEnd"/>
      <w:r w:rsidR="00A661DA" w:rsidRPr="00000F0F">
        <w:rPr>
          <w:color w:val="0D0D0D" w:themeColor="text1" w:themeTint="F2"/>
          <w:lang w:val="en-US"/>
        </w:rPr>
        <w:t xml:space="preserve"> “</w:t>
      </w:r>
      <w:proofErr w:type="spellStart"/>
      <w:r w:rsidR="00A661DA" w:rsidRPr="00000F0F">
        <w:rPr>
          <w:i/>
          <w:color w:val="0D0D0D" w:themeColor="text1" w:themeTint="F2"/>
          <w:lang w:val="en-US"/>
        </w:rPr>
        <w:t>Refuzim</w:t>
      </w:r>
      <w:proofErr w:type="spellEnd"/>
      <w:r w:rsidR="00A661DA" w:rsidRPr="00000F0F">
        <w:rPr>
          <w:i/>
          <w:color w:val="0D0D0D" w:themeColor="text1" w:themeTint="F2"/>
          <w:lang w:val="en-US"/>
        </w:rPr>
        <w:t xml:space="preserve"> </w:t>
      </w:r>
      <w:proofErr w:type="spellStart"/>
      <w:r w:rsidR="00A661DA" w:rsidRPr="00000F0F">
        <w:rPr>
          <w:i/>
          <w:color w:val="0D0D0D" w:themeColor="text1" w:themeTint="F2"/>
          <w:lang w:val="en-US"/>
        </w:rPr>
        <w:t>dhënie</w:t>
      </w:r>
      <w:proofErr w:type="spellEnd"/>
      <w:r w:rsidR="00A661DA" w:rsidRPr="00000F0F">
        <w:rPr>
          <w:i/>
          <w:color w:val="0D0D0D" w:themeColor="text1" w:themeTint="F2"/>
          <w:lang w:val="en-US"/>
        </w:rPr>
        <w:t xml:space="preserve"> </w:t>
      </w:r>
      <w:proofErr w:type="spellStart"/>
      <w:r w:rsidR="00A661DA" w:rsidRPr="00000F0F">
        <w:rPr>
          <w:i/>
          <w:color w:val="0D0D0D" w:themeColor="text1" w:themeTint="F2"/>
          <w:lang w:val="en-US"/>
        </w:rPr>
        <w:t>informacioni</w:t>
      </w:r>
      <w:proofErr w:type="spellEnd"/>
      <w:r w:rsidR="00A661DA" w:rsidRPr="00000F0F">
        <w:rPr>
          <w:i/>
          <w:color w:val="0D0D0D" w:themeColor="text1" w:themeTint="F2"/>
          <w:lang w:val="en-US"/>
        </w:rPr>
        <w:t xml:space="preserve"> </w:t>
      </w:r>
      <w:proofErr w:type="spellStart"/>
      <w:r w:rsidR="00A661DA" w:rsidRPr="00000F0F">
        <w:rPr>
          <w:i/>
          <w:color w:val="0D0D0D" w:themeColor="text1" w:themeTint="F2"/>
          <w:lang w:val="en-US"/>
        </w:rPr>
        <w:t>dhe</w:t>
      </w:r>
      <w:proofErr w:type="spellEnd"/>
      <w:r w:rsidR="00A661DA" w:rsidRPr="00000F0F">
        <w:rPr>
          <w:i/>
          <w:color w:val="0D0D0D" w:themeColor="text1" w:themeTint="F2"/>
          <w:lang w:val="en-US"/>
        </w:rPr>
        <w:t xml:space="preserve"> kopje </w:t>
      </w:r>
      <w:proofErr w:type="spellStart"/>
      <w:r w:rsidR="00A661DA" w:rsidRPr="00000F0F">
        <w:rPr>
          <w:i/>
          <w:color w:val="0D0D0D" w:themeColor="text1" w:themeTint="F2"/>
          <w:lang w:val="en-US"/>
        </w:rPr>
        <w:t>të</w:t>
      </w:r>
      <w:proofErr w:type="spellEnd"/>
      <w:r w:rsidR="00A661DA" w:rsidRPr="00000F0F">
        <w:rPr>
          <w:i/>
          <w:color w:val="0D0D0D" w:themeColor="text1" w:themeTint="F2"/>
          <w:lang w:val="en-US"/>
        </w:rPr>
        <w:t xml:space="preserve"> </w:t>
      </w:r>
      <w:proofErr w:type="spellStart"/>
      <w:r w:rsidR="00A661DA" w:rsidRPr="00000F0F">
        <w:rPr>
          <w:i/>
          <w:color w:val="0D0D0D" w:themeColor="text1" w:themeTint="F2"/>
          <w:lang w:val="en-US"/>
        </w:rPr>
        <w:t>dokumentave</w:t>
      </w:r>
      <w:proofErr w:type="spellEnd"/>
      <w:r w:rsidR="00A661DA" w:rsidRPr="00000F0F">
        <w:rPr>
          <w:i/>
          <w:color w:val="0D0D0D" w:themeColor="text1" w:themeTint="F2"/>
          <w:lang w:val="en-US"/>
        </w:rPr>
        <w:t xml:space="preserve"> </w:t>
      </w:r>
      <w:proofErr w:type="spellStart"/>
      <w:r w:rsidR="00A661DA" w:rsidRPr="00000F0F">
        <w:rPr>
          <w:i/>
          <w:color w:val="0D0D0D" w:themeColor="text1" w:themeTint="F2"/>
          <w:lang w:val="en-US"/>
        </w:rPr>
        <w:t>zyrtare</w:t>
      </w:r>
      <w:proofErr w:type="spellEnd"/>
      <w:r w:rsidR="00A661DA" w:rsidRPr="00000F0F">
        <w:rPr>
          <w:color w:val="0D0D0D" w:themeColor="text1" w:themeTint="F2"/>
          <w:lang w:val="en-US"/>
        </w:rPr>
        <w:t xml:space="preserve">” </w:t>
      </w:r>
      <w:proofErr w:type="spellStart"/>
      <w:r w:rsidR="00A661DA" w:rsidRPr="00000F0F">
        <w:rPr>
          <w:color w:val="0D0D0D" w:themeColor="text1" w:themeTint="F2"/>
          <w:lang w:val="en-US"/>
        </w:rPr>
        <w:t>ndaj</w:t>
      </w:r>
      <w:proofErr w:type="spellEnd"/>
      <w:r w:rsidR="00A661DA" w:rsidRPr="00000F0F">
        <w:rPr>
          <w:color w:val="0D0D0D" w:themeColor="text1" w:themeTint="F2"/>
          <w:lang w:val="en-US"/>
        </w:rPr>
        <w:t xml:space="preserve"> </w:t>
      </w:r>
      <w:proofErr w:type="spellStart"/>
      <w:r w:rsidR="00A661DA" w:rsidRPr="00000F0F">
        <w:rPr>
          <w:color w:val="0D0D0D" w:themeColor="text1" w:themeTint="F2"/>
          <w:lang w:val="en-US"/>
        </w:rPr>
        <w:t>disa</w:t>
      </w:r>
      <w:proofErr w:type="spellEnd"/>
      <w:r w:rsidR="00A661DA" w:rsidRPr="00000F0F">
        <w:rPr>
          <w:color w:val="0D0D0D" w:themeColor="text1" w:themeTint="F2"/>
          <w:lang w:val="en-US"/>
        </w:rPr>
        <w:t xml:space="preserve"> </w:t>
      </w:r>
      <w:proofErr w:type="spellStart"/>
      <w:r w:rsidR="00A661DA" w:rsidRPr="00000F0F">
        <w:rPr>
          <w:color w:val="0D0D0D" w:themeColor="text1" w:themeTint="F2"/>
          <w:lang w:val="en-US"/>
        </w:rPr>
        <w:t>autoriteteve</w:t>
      </w:r>
      <w:proofErr w:type="spellEnd"/>
      <w:r w:rsidR="00A661DA" w:rsidRPr="00000F0F">
        <w:rPr>
          <w:color w:val="0D0D0D" w:themeColor="text1" w:themeTint="F2"/>
          <w:lang w:val="en-US"/>
        </w:rPr>
        <w:t xml:space="preserve"> </w:t>
      </w:r>
      <w:proofErr w:type="spellStart"/>
      <w:r w:rsidR="00A661DA" w:rsidRPr="00000F0F">
        <w:rPr>
          <w:color w:val="0D0D0D" w:themeColor="text1" w:themeTint="F2"/>
          <w:lang w:val="en-US"/>
        </w:rPr>
        <w:t>publike</w:t>
      </w:r>
      <w:proofErr w:type="spellEnd"/>
      <w:r w:rsidRPr="00000F0F">
        <w:rPr>
          <w:color w:val="0D0D0D" w:themeColor="text1" w:themeTint="F2"/>
        </w:rPr>
        <w:t xml:space="preserve">. Ka një prirje të konsoliduar për sa i përket dhënies së informacionit/dokumentacionit të kërkuar nga ankuesit, gjatë zhvillimit të procesit të hetimit administrativ nga Zyra e Komisionerit. Në shifra konkrete, janë 643 ankesa nga totali prej 1081 ky qytetarët kanë marrë përgjigje. </w:t>
      </w:r>
    </w:p>
    <w:p w:rsidR="00BA2D34" w:rsidRPr="00000F0F" w:rsidRDefault="00BA2D34" w:rsidP="00000F0F">
      <w:pPr>
        <w:spacing w:line="276" w:lineRule="auto"/>
        <w:jc w:val="both"/>
        <w:rPr>
          <w:lang w:val="it-IT"/>
        </w:rPr>
      </w:pPr>
      <w:r w:rsidRPr="00000F0F">
        <w:t xml:space="preserve">Si pjesë e procesit të shqyrtimit administativ për ankesat e depozituara, u zhvilluan 32 inspektime pranë autoriteteve publike dhe 72 seanca dëgjimore me praninë e palëve. </w:t>
      </w:r>
      <w:r w:rsidRPr="00000F0F">
        <w:rPr>
          <w:lang w:val="it-IT"/>
        </w:rPr>
        <w:t>Në përfundim, Komisioneri u shpreh me 61 vendime, prej të cilave 45 urdhërimi për dhënie informacioni, 10 vendime rrëzimi, 3 vendime mospranimi dhe 3 vendime me sanksion administrativ</w:t>
      </w:r>
    </w:p>
    <w:p w:rsidR="00BA2D34" w:rsidRPr="00000F0F" w:rsidRDefault="00A661DA" w:rsidP="00000F0F">
      <w:pPr>
        <w:spacing w:line="276" w:lineRule="auto"/>
        <w:jc w:val="both"/>
      </w:pPr>
      <w:r w:rsidRPr="00000F0F">
        <w:t xml:space="preserve">Gjatë shqyrtimit të ankesave janë </w:t>
      </w:r>
      <w:r w:rsidR="00BA2D34" w:rsidRPr="00000F0F">
        <w:t xml:space="preserve">21 ankesa të refuzuara bazuar në kufizimet e LDI, 77 ankesa janë paraqitur jashtë afatit, 15 ishin të paplota, si dhe 48 të tjera janë u mbartën për shqyrtim në vitin 2023. </w:t>
      </w:r>
    </w:p>
    <w:p w:rsidR="002C3FD3" w:rsidRPr="00000F0F" w:rsidRDefault="002C3FD3" w:rsidP="00000F0F">
      <w:pPr>
        <w:spacing w:line="276" w:lineRule="auto"/>
        <w:jc w:val="both"/>
      </w:pPr>
      <w:r w:rsidRPr="00000F0F">
        <w:t>Në zbatim të ligjit nr.119/2014 “Për të drejtën e informimit”, Zyra e Komisionerit ka vijuar punën për mbikëqyrjen dhe garantimin e të drejtës për akses në informacion publik, duke u mbështetur në vendosjen e balancës dhe respektimin e parimit të proporcionalitetit.</w:t>
      </w:r>
    </w:p>
    <w:p w:rsidR="002C3FD3" w:rsidRPr="00000F0F" w:rsidRDefault="002C3FD3" w:rsidP="00000F0F">
      <w:pPr>
        <w:spacing w:after="160" w:line="276" w:lineRule="auto"/>
        <w:jc w:val="both"/>
      </w:pPr>
      <w:r w:rsidRPr="00000F0F">
        <w:t xml:space="preserve">Ky është një tregues cilësor i veprimtarisë së Zyrës së Komisionerit, ku qytetari merr atë çfarë kërkon dhe i nevojitet. </w:t>
      </w:r>
    </w:p>
    <w:p w:rsidR="002C3FD3" w:rsidRPr="00000F0F" w:rsidRDefault="00532310" w:rsidP="00000F0F">
      <w:pPr>
        <w:spacing w:line="276" w:lineRule="auto"/>
        <w:jc w:val="both"/>
        <w:rPr>
          <w:color w:val="0D0D0D" w:themeColor="text1" w:themeTint="F2"/>
        </w:rPr>
      </w:pPr>
      <w:r w:rsidRPr="00000F0F">
        <w:rPr>
          <w:b/>
          <w:color w:val="0D0D0D" w:themeColor="text1" w:themeTint="F2"/>
        </w:rPr>
        <w:t>Në tërësi Nënprodukti A:</w:t>
      </w:r>
      <w:r w:rsidR="00A661DA" w:rsidRPr="00000F0F">
        <w:rPr>
          <w:b/>
          <w:color w:val="0D0D0D" w:themeColor="text1" w:themeTint="F2"/>
        </w:rPr>
        <w:t xml:space="preserve"> </w:t>
      </w:r>
      <w:r w:rsidR="00BA2D34" w:rsidRPr="00000F0F">
        <w:rPr>
          <w:b/>
          <w:color w:val="0D0D0D" w:themeColor="text1" w:themeTint="F2"/>
        </w:rPr>
        <w:t>10</w:t>
      </w:r>
      <w:r w:rsidR="00282CC7" w:rsidRPr="00000F0F">
        <w:rPr>
          <w:b/>
          <w:color w:val="0D0D0D" w:themeColor="text1" w:themeTint="F2"/>
        </w:rPr>
        <w:t>32</w:t>
      </w:r>
      <w:r w:rsidRPr="00000F0F">
        <w:rPr>
          <w:b/>
          <w:color w:val="0D0D0D" w:themeColor="text1" w:themeTint="F2"/>
        </w:rPr>
        <w:t xml:space="preserve">+ </w:t>
      </w:r>
      <w:r w:rsidR="00BA2D34" w:rsidRPr="00000F0F">
        <w:rPr>
          <w:b/>
          <w:color w:val="0D0D0D" w:themeColor="text1" w:themeTint="F2"/>
        </w:rPr>
        <w:t>32</w:t>
      </w:r>
      <w:r w:rsidRPr="00000F0F">
        <w:rPr>
          <w:b/>
          <w:color w:val="0D0D0D" w:themeColor="text1" w:themeTint="F2"/>
        </w:rPr>
        <w:t xml:space="preserve"> (ankesa+</w:t>
      </w:r>
      <w:r w:rsidR="002C3FD3" w:rsidRPr="00000F0F">
        <w:rPr>
          <w:b/>
          <w:color w:val="0D0D0D" w:themeColor="text1" w:themeTint="F2"/>
        </w:rPr>
        <w:t xml:space="preserve">inspektime) </w:t>
      </w:r>
      <w:r w:rsidRPr="00000F0F">
        <w:rPr>
          <w:color w:val="0D0D0D" w:themeColor="text1" w:themeTint="F2"/>
        </w:rPr>
        <w:t xml:space="preserve">realizuar mbi </w:t>
      </w:r>
      <w:r w:rsidR="00BA2D34" w:rsidRPr="00000F0F">
        <w:rPr>
          <w:color w:val="0D0D0D" w:themeColor="text1" w:themeTint="F2"/>
        </w:rPr>
        <w:t>100</w:t>
      </w:r>
      <w:r w:rsidR="00A661DA" w:rsidRPr="00000F0F">
        <w:rPr>
          <w:color w:val="0D0D0D" w:themeColor="text1" w:themeTint="F2"/>
        </w:rPr>
        <w:t xml:space="preserve"> </w:t>
      </w:r>
      <w:r w:rsidRPr="00000F0F">
        <w:rPr>
          <w:color w:val="0D0D0D" w:themeColor="text1" w:themeTint="F2"/>
        </w:rPr>
        <w:t>% të pritshmërisë</w:t>
      </w:r>
      <w:r w:rsidR="002C3FD3" w:rsidRPr="00000F0F">
        <w:rPr>
          <w:color w:val="0D0D0D" w:themeColor="text1" w:themeTint="F2"/>
        </w:rPr>
        <w:t xml:space="preserve">. </w:t>
      </w:r>
    </w:p>
    <w:p w:rsidR="002C3FD3" w:rsidRPr="00000F0F" w:rsidRDefault="002C3FD3" w:rsidP="00000F0F">
      <w:pPr>
        <w:spacing w:line="276" w:lineRule="auto"/>
        <w:jc w:val="both"/>
        <w:rPr>
          <w:color w:val="FF0000"/>
        </w:rPr>
      </w:pPr>
    </w:p>
    <w:p w:rsidR="002C3FD3" w:rsidRPr="00000F0F" w:rsidRDefault="002C3FD3" w:rsidP="00000F0F">
      <w:pPr>
        <w:spacing w:line="276" w:lineRule="auto"/>
        <w:jc w:val="both"/>
        <w:rPr>
          <w:b/>
          <w:color w:val="0D0D0D" w:themeColor="text1" w:themeTint="F2"/>
        </w:rPr>
      </w:pPr>
      <w:r w:rsidRPr="00000F0F">
        <w:rPr>
          <w:rFonts w:eastAsia="Batang"/>
          <w:b/>
          <w:color w:val="0D0D0D" w:themeColor="text1" w:themeTint="F2"/>
        </w:rPr>
        <w:t xml:space="preserve">Nënprodukti B- </w:t>
      </w:r>
      <w:r w:rsidRPr="00000F0F">
        <w:rPr>
          <w:b/>
          <w:color w:val="0D0D0D" w:themeColor="text1" w:themeTint="F2"/>
        </w:rPr>
        <w:t>Monitorim i Autoriteteve Publike me programe transparencë</w:t>
      </w:r>
      <w:r w:rsidR="00532310" w:rsidRPr="00000F0F">
        <w:rPr>
          <w:b/>
          <w:color w:val="0D0D0D" w:themeColor="text1" w:themeTint="F2"/>
        </w:rPr>
        <w:t xml:space="preserve"> </w:t>
      </w:r>
    </w:p>
    <w:p w:rsidR="002C3FD3" w:rsidRPr="00000F0F" w:rsidRDefault="002C3FD3" w:rsidP="00000F0F">
      <w:pPr>
        <w:spacing w:line="276" w:lineRule="auto"/>
        <w:jc w:val="both"/>
        <w:rPr>
          <w:b/>
          <w:color w:val="0D0D0D" w:themeColor="text1" w:themeTint="F2"/>
        </w:rPr>
      </w:pPr>
      <w:r w:rsidRPr="00000F0F">
        <w:rPr>
          <w:b/>
          <w:color w:val="0D0D0D" w:themeColor="text1" w:themeTint="F2"/>
        </w:rPr>
        <w:t xml:space="preserve"> (380+-monitorime) .</w:t>
      </w:r>
    </w:p>
    <w:p w:rsidR="002C3FD3" w:rsidRPr="00000F0F" w:rsidRDefault="002C3FD3" w:rsidP="00000F0F">
      <w:pPr>
        <w:tabs>
          <w:tab w:val="left" w:pos="960"/>
        </w:tabs>
        <w:spacing w:after="240" w:line="276" w:lineRule="auto"/>
        <w:jc w:val="both"/>
        <w:rPr>
          <w:rFonts w:eastAsia="Calibri"/>
          <w:color w:val="0D0D0D" w:themeColor="text1" w:themeTint="F2"/>
        </w:rPr>
      </w:pPr>
      <w:r w:rsidRPr="00000F0F">
        <w:rPr>
          <w:rFonts w:eastAsia="Calibri"/>
          <w:color w:val="0D0D0D" w:themeColor="text1" w:themeTint="F2"/>
        </w:rPr>
        <w:t>Zyra e Komisionerit e ka të përditësuar listën e au</w:t>
      </w:r>
      <w:r w:rsidR="00532310" w:rsidRPr="00000F0F">
        <w:rPr>
          <w:rFonts w:eastAsia="Calibri"/>
          <w:color w:val="0D0D0D" w:themeColor="text1" w:themeTint="F2"/>
        </w:rPr>
        <w:t xml:space="preserve">toriteteve publike, e cila pas </w:t>
      </w:r>
      <w:r w:rsidRPr="00000F0F">
        <w:rPr>
          <w:rFonts w:eastAsia="Calibri"/>
          <w:color w:val="0D0D0D" w:themeColor="text1" w:themeTint="F2"/>
        </w:rPr>
        <w:t xml:space="preserve">ndryshimeve, për shkak të reformës së riorganizimit strukturor të organeve dhe institucioneve të administratës shtetërore, ku rezultojnë </w:t>
      </w:r>
      <w:r w:rsidRPr="00000F0F">
        <w:rPr>
          <w:rFonts w:eastAsia="Calibri"/>
          <w:b/>
          <w:color w:val="0D0D0D" w:themeColor="text1" w:themeTint="F2"/>
        </w:rPr>
        <w:t>374 autoritete publike</w:t>
      </w:r>
      <w:r w:rsidRPr="00000F0F">
        <w:rPr>
          <w:rFonts w:eastAsia="Calibri"/>
          <w:color w:val="0D0D0D" w:themeColor="text1" w:themeTint="F2"/>
        </w:rPr>
        <w:t>.</w:t>
      </w:r>
    </w:p>
    <w:p w:rsidR="002C3FD3" w:rsidRPr="00000F0F" w:rsidRDefault="002C3FD3" w:rsidP="00000F0F">
      <w:pPr>
        <w:spacing w:after="240" w:line="276" w:lineRule="auto"/>
        <w:jc w:val="both"/>
        <w:rPr>
          <w:color w:val="0D0D0D" w:themeColor="text1" w:themeTint="F2"/>
        </w:rPr>
      </w:pPr>
      <w:r w:rsidRPr="00000F0F">
        <w:rPr>
          <w:color w:val="0D0D0D" w:themeColor="text1" w:themeTint="F2"/>
        </w:rPr>
        <w:t xml:space="preserve">Ligji për të drejtën e informimit garanton transparencën proaktive dhe nxit integritetin, llogaridhënien dhe përgjegjshmërinë e autoriteteve publike. Një prej instrumenteve kryesorë që kontribuon në këtë drejtim, është programi i transparencës. </w:t>
      </w:r>
    </w:p>
    <w:p w:rsidR="002C3FD3" w:rsidRPr="00000F0F" w:rsidRDefault="002C3FD3" w:rsidP="00000F0F">
      <w:pPr>
        <w:spacing w:after="240" w:line="276" w:lineRule="auto"/>
        <w:jc w:val="both"/>
        <w:rPr>
          <w:color w:val="0D0D0D" w:themeColor="text1" w:themeTint="F2"/>
        </w:rPr>
      </w:pPr>
      <w:r w:rsidRPr="00000F0F">
        <w:rPr>
          <w:color w:val="0D0D0D" w:themeColor="text1" w:themeTint="F2"/>
        </w:rPr>
        <w:t xml:space="preserve">Si rezultat i monitorimeve të vazhdueshme, dhe aktiviteteve </w:t>
      </w:r>
      <w:r w:rsidR="00532310" w:rsidRPr="00000F0F">
        <w:rPr>
          <w:color w:val="0D0D0D" w:themeColor="text1" w:themeTint="F2"/>
        </w:rPr>
        <w:t xml:space="preserve">të tjera trajnuese/inspektuese </w:t>
      </w:r>
      <w:r w:rsidRPr="00000F0F">
        <w:rPr>
          <w:color w:val="0D0D0D" w:themeColor="text1" w:themeTint="F2"/>
        </w:rPr>
        <w:t xml:space="preserve">nga Zyra e Komisionerit, gjatë këtij viti, vërehet një përmirësim, si në shtimin e numrit të autoriteteve të cilat kanë publikuar programin e transparencës, ashtu edhe në informacionin e publikuar në rubrikat e përfshira në këtë program. </w:t>
      </w:r>
    </w:p>
    <w:p w:rsidR="002C3FD3" w:rsidRPr="00000F0F" w:rsidRDefault="002C3FD3" w:rsidP="00000F0F">
      <w:pPr>
        <w:spacing w:after="80" w:line="276" w:lineRule="auto"/>
        <w:ind w:right="144"/>
        <w:jc w:val="both"/>
        <w:rPr>
          <w:color w:val="0D0D0D" w:themeColor="text1" w:themeTint="F2"/>
        </w:rPr>
      </w:pPr>
      <w:r w:rsidRPr="00000F0F">
        <w:rPr>
          <w:color w:val="0D0D0D" w:themeColor="text1" w:themeTint="F2"/>
        </w:rPr>
        <w:t>Zyra e Komisionerit për të Drejtën e Informimit dhe Mbr</w:t>
      </w:r>
      <w:r w:rsidR="00532310" w:rsidRPr="00000F0F">
        <w:rPr>
          <w:color w:val="0D0D0D" w:themeColor="text1" w:themeTint="F2"/>
        </w:rPr>
        <w:t xml:space="preserve">ojtjen e të Dhënave Personale, </w:t>
      </w:r>
      <w:r w:rsidRPr="00000F0F">
        <w:rPr>
          <w:color w:val="0D0D0D" w:themeColor="text1" w:themeTint="F2"/>
        </w:rPr>
        <w:t xml:space="preserve">ka </w:t>
      </w:r>
      <w:r w:rsidRPr="00000F0F">
        <w:rPr>
          <w:color w:val="0D0D0D" w:themeColor="text1" w:themeTint="F2"/>
          <w:shd w:val="clear" w:color="auto" w:fill="FFFFFF"/>
        </w:rPr>
        <w:t>miratuar</w:t>
      </w:r>
      <w:r w:rsidR="00532310" w:rsidRPr="00000F0F">
        <w:rPr>
          <w:color w:val="0D0D0D" w:themeColor="text1" w:themeTint="F2"/>
          <w:shd w:val="clear" w:color="auto" w:fill="FFFFFF"/>
        </w:rPr>
        <w:t xml:space="preserve"> </w:t>
      </w:r>
      <w:r w:rsidRPr="00000F0F">
        <w:rPr>
          <w:color w:val="0D0D0D" w:themeColor="text1" w:themeTint="F2"/>
        </w:rPr>
        <w:t xml:space="preserve">modelet e reja të Programit të Transparencës dhe Regjistrit të Kërkesave dhe Përgjigjeve. </w:t>
      </w:r>
    </w:p>
    <w:p w:rsidR="00BA2D34" w:rsidRPr="00000F0F" w:rsidRDefault="00BA2D34" w:rsidP="00000F0F">
      <w:pPr>
        <w:spacing w:after="80" w:line="276" w:lineRule="auto"/>
        <w:ind w:right="144"/>
        <w:jc w:val="both"/>
        <w:rPr>
          <w:color w:val="0D0D0D" w:themeColor="text1" w:themeTint="F2"/>
        </w:rPr>
      </w:pPr>
      <w:r w:rsidRPr="00000F0F">
        <w:t xml:space="preserve">Zyra e Komisionerit, në ushtrim të funksioneve monitoruese, konstaton se për vitin 2022 ka përmirësim në drejtim të publikimit dhe përditësimit të këtyre instrumenteve nga </w:t>
      </w:r>
      <w:r w:rsidRPr="00000F0F">
        <w:lastRenderedPageBreak/>
        <w:t>autoritetet publike, sipas modeleve të miratuara me Urdhërat nr. 211/2018, nr. 187/2020 dhe nr. 188/2020 të Komisionerit.</w:t>
      </w:r>
    </w:p>
    <w:p w:rsidR="00A661DA" w:rsidRPr="00000F0F" w:rsidRDefault="00A661DA" w:rsidP="00000F0F">
      <w:pPr>
        <w:spacing w:line="276" w:lineRule="auto"/>
        <w:contextualSpacing/>
        <w:jc w:val="both"/>
        <w:rPr>
          <w:rFonts w:eastAsia="Calibri"/>
          <w:color w:val="0D0D0D" w:themeColor="text1" w:themeTint="F2"/>
        </w:rPr>
      </w:pPr>
      <w:r w:rsidRPr="00000F0F">
        <w:rPr>
          <w:color w:val="0D0D0D" w:themeColor="text1" w:themeTint="F2"/>
        </w:rPr>
        <w:t xml:space="preserve">Gjatë vitit 2022, Zyra e Komisionerit ka monitoruar </w:t>
      </w:r>
      <w:r w:rsidRPr="00000F0F">
        <w:rPr>
          <w:rFonts w:eastAsia="Calibri"/>
          <w:color w:val="0D0D0D" w:themeColor="text1" w:themeTint="F2"/>
        </w:rPr>
        <w:t xml:space="preserve">Programet e Transparencës së Autoriteteve Publike Qendrore dhe të Varësisë. Nga monitorimi paraprak i nivelit të zbatimit të transparencës proaktive të autoriteteve publike rezulton që </w:t>
      </w:r>
      <w:r w:rsidR="00BA2D34" w:rsidRPr="00000F0F">
        <w:rPr>
          <w:color w:val="0D0D0D" w:themeColor="text1" w:themeTint="F2"/>
        </w:rPr>
        <w:t>331</w:t>
      </w:r>
      <w:r w:rsidR="00A674BF" w:rsidRPr="00000F0F">
        <w:rPr>
          <w:color w:val="0D0D0D" w:themeColor="text1" w:themeTint="F2"/>
        </w:rPr>
        <w:t xml:space="preserve"> </w:t>
      </w:r>
      <w:r w:rsidRPr="00000F0F">
        <w:rPr>
          <w:color w:val="0D0D0D" w:themeColor="text1" w:themeTint="F2"/>
        </w:rPr>
        <w:t xml:space="preserve">Autoritete Publike kanë publikuar Programin e Transparencës në faqet e tyre zyrtare, dhe </w:t>
      </w:r>
      <w:r w:rsidR="00BA2D34" w:rsidRPr="00000F0F">
        <w:rPr>
          <w:color w:val="0D0D0D" w:themeColor="text1" w:themeTint="F2"/>
        </w:rPr>
        <w:t>374</w:t>
      </w:r>
      <w:r w:rsidRPr="00000F0F">
        <w:rPr>
          <w:color w:val="0D0D0D" w:themeColor="text1" w:themeTint="F2"/>
        </w:rPr>
        <w:t xml:space="preserve">  kanë caktuar koordinatorin për të drejtën e informimit.</w:t>
      </w:r>
    </w:p>
    <w:p w:rsidR="00A661DA" w:rsidRPr="00000F0F" w:rsidRDefault="00A661DA" w:rsidP="00000F0F">
      <w:pPr>
        <w:spacing w:line="276" w:lineRule="auto"/>
        <w:contextualSpacing/>
        <w:jc w:val="both"/>
        <w:rPr>
          <w:rFonts w:eastAsia="Calibri"/>
        </w:rPr>
      </w:pPr>
    </w:p>
    <w:p w:rsidR="002C359A" w:rsidRPr="00000F0F" w:rsidRDefault="00A661DA" w:rsidP="00000F0F">
      <w:pPr>
        <w:spacing w:line="276" w:lineRule="auto"/>
        <w:jc w:val="both"/>
        <w:rPr>
          <w:rFonts w:eastAsia="MS Mincho"/>
        </w:rPr>
      </w:pPr>
      <w:r w:rsidRPr="00000F0F">
        <w:rPr>
          <w:rFonts w:eastAsia="Calibri"/>
        </w:rPr>
        <w:t xml:space="preserve">Gjithashtu për realizimin e këtij objektivi, gjatë këtij </w:t>
      </w:r>
      <w:r w:rsidR="00BA2D34" w:rsidRPr="00000F0F">
        <w:rPr>
          <w:rFonts w:eastAsia="Calibri"/>
        </w:rPr>
        <w:t xml:space="preserve">viti </w:t>
      </w:r>
      <w:r w:rsidRPr="00000F0F">
        <w:rPr>
          <w:rFonts w:eastAsia="Calibri"/>
        </w:rPr>
        <w:t xml:space="preserve"> janë zhvilluar </w:t>
      </w:r>
      <w:r w:rsidR="002C359A" w:rsidRPr="00000F0F">
        <w:t xml:space="preserve">u realizuan 50 inspektime në 35 AP qendrore/varësie dhe 15 NJVV me shtrirje në të gjithë territorin e vendin, bazuar në mangësitë e konstatuara në Indeksin e Transparencës 2021. Pjesë e këtij procesi ishte edhe zhvillimi i 5 seancave dëgjimore. Nisur edhe nga bashkëveprimi me inspektorët e Zyrës së Komisionerit, në përfundim të procedurës AP plotësuan detyrimet e transparencës proaktive: publikimin/përditësimin e PT dhe RKP dhe caktimin e koordinatorit. </w:t>
      </w:r>
    </w:p>
    <w:p w:rsidR="00A661DA" w:rsidRPr="00000F0F" w:rsidRDefault="00A674BF" w:rsidP="00000F0F">
      <w:pPr>
        <w:spacing w:line="276" w:lineRule="auto"/>
        <w:jc w:val="both"/>
        <w:rPr>
          <w:color w:val="000000" w:themeColor="text1"/>
        </w:rPr>
      </w:pPr>
      <w:r w:rsidRPr="00000F0F">
        <w:t>Në përfundim të kësaj veprimtarie, Komisioneri doli me 28 rekomandime specifike për strukturat e të gjitha niveleve, në mënyrë që informacioni në rubrikat respektive të jetë i harmonizuar me modelet në fuqi, detyrime të cilat u përmbushën brenda afatit dhe janë në përditësim të vazhdueshëm.</w:t>
      </w:r>
    </w:p>
    <w:p w:rsidR="002C3FD3" w:rsidRPr="00000F0F" w:rsidRDefault="00532310" w:rsidP="00000F0F">
      <w:pPr>
        <w:spacing w:line="276" w:lineRule="auto"/>
        <w:jc w:val="both"/>
        <w:rPr>
          <w:color w:val="0D0D0D" w:themeColor="text1" w:themeTint="F2"/>
        </w:rPr>
      </w:pPr>
      <w:r w:rsidRPr="00000F0F">
        <w:rPr>
          <w:b/>
          <w:color w:val="0D0D0D" w:themeColor="text1" w:themeTint="F2"/>
        </w:rPr>
        <w:t xml:space="preserve">Nënprodukti B: </w:t>
      </w:r>
      <w:r w:rsidR="00A661DA" w:rsidRPr="00000F0F">
        <w:rPr>
          <w:b/>
          <w:color w:val="0D0D0D" w:themeColor="text1" w:themeTint="F2"/>
        </w:rPr>
        <w:t xml:space="preserve">Janë monitoruar 374 AP + 32 hetime  </w:t>
      </w:r>
      <w:r w:rsidR="002C3FD3" w:rsidRPr="00000F0F">
        <w:rPr>
          <w:color w:val="0D0D0D" w:themeColor="text1" w:themeTint="F2"/>
        </w:rPr>
        <w:t>Është nj</w:t>
      </w:r>
      <w:r w:rsidRPr="00000F0F">
        <w:rPr>
          <w:color w:val="0D0D0D" w:themeColor="text1" w:themeTint="F2"/>
        </w:rPr>
        <w:t>ë tregues</w:t>
      </w:r>
      <w:r w:rsidR="00A661DA" w:rsidRPr="00000F0F">
        <w:rPr>
          <w:color w:val="0D0D0D" w:themeColor="text1" w:themeTint="F2"/>
        </w:rPr>
        <w:t xml:space="preserve"> shumë pozitiv </w:t>
      </w:r>
      <w:r w:rsidRPr="00000F0F">
        <w:rPr>
          <w:color w:val="0D0D0D" w:themeColor="text1" w:themeTint="F2"/>
        </w:rPr>
        <w:t xml:space="preserve">  </w:t>
      </w:r>
      <w:r w:rsidR="00A661DA" w:rsidRPr="00000F0F">
        <w:rPr>
          <w:color w:val="0D0D0D" w:themeColor="text1" w:themeTint="F2"/>
        </w:rPr>
        <w:t xml:space="preserve">i cili ka arritur </w:t>
      </w:r>
      <w:r w:rsidR="002C3FD3" w:rsidRPr="00000F0F">
        <w:rPr>
          <w:color w:val="0D0D0D" w:themeColor="text1" w:themeTint="F2"/>
        </w:rPr>
        <w:t xml:space="preserve">pritshmëritë (monitorim për të gjithë AP), duke mos përfshirë numrin e rekomandimeve apo inspektimeve.   </w:t>
      </w:r>
    </w:p>
    <w:p w:rsidR="00532310" w:rsidRPr="00000F0F" w:rsidRDefault="00532310" w:rsidP="00000F0F">
      <w:pPr>
        <w:spacing w:line="276" w:lineRule="auto"/>
        <w:jc w:val="both"/>
        <w:rPr>
          <w:color w:val="0D0D0D" w:themeColor="text1" w:themeTint="F2"/>
        </w:rPr>
      </w:pPr>
    </w:p>
    <w:p w:rsidR="002C3FD3" w:rsidRPr="00000F0F" w:rsidRDefault="002C3FD3" w:rsidP="00000F0F">
      <w:pPr>
        <w:pStyle w:val="ListParagraph"/>
        <w:numPr>
          <w:ilvl w:val="0"/>
          <w:numId w:val="3"/>
        </w:numPr>
        <w:jc w:val="both"/>
        <w:rPr>
          <w:rFonts w:ascii="Times New Roman" w:hAnsi="Times New Roman"/>
          <w:b/>
          <w:sz w:val="24"/>
          <w:szCs w:val="24"/>
        </w:rPr>
      </w:pPr>
      <w:r w:rsidRPr="00000F0F">
        <w:rPr>
          <w:rFonts w:ascii="Times New Roman" w:hAnsi="Times New Roman"/>
          <w:b/>
          <w:sz w:val="24"/>
          <w:szCs w:val="24"/>
        </w:rPr>
        <w:t xml:space="preserve">Të tjera aktivitete në funksion të rritjes së transparencës </w:t>
      </w:r>
    </w:p>
    <w:p w:rsidR="002C3FD3" w:rsidRPr="00000F0F" w:rsidRDefault="002C3FD3" w:rsidP="00000F0F">
      <w:pPr>
        <w:pStyle w:val="ListParagraph"/>
        <w:jc w:val="both"/>
        <w:rPr>
          <w:rFonts w:ascii="Times New Roman" w:hAnsi="Times New Roman"/>
          <w:b/>
          <w:color w:val="0D0D0D" w:themeColor="text1" w:themeTint="F2"/>
          <w:sz w:val="24"/>
          <w:szCs w:val="24"/>
        </w:rPr>
      </w:pPr>
    </w:p>
    <w:p w:rsidR="002C3FD3" w:rsidRPr="00000F0F" w:rsidRDefault="002C3FD3" w:rsidP="00000F0F">
      <w:pPr>
        <w:pStyle w:val="ListParagraph"/>
        <w:numPr>
          <w:ilvl w:val="0"/>
          <w:numId w:val="9"/>
        </w:numPr>
        <w:jc w:val="both"/>
        <w:rPr>
          <w:rFonts w:ascii="Times New Roman" w:hAnsi="Times New Roman"/>
          <w:b/>
          <w:color w:val="0D0D0D" w:themeColor="text1" w:themeTint="F2"/>
          <w:sz w:val="24"/>
          <w:szCs w:val="24"/>
        </w:rPr>
      </w:pPr>
      <w:r w:rsidRPr="00000F0F">
        <w:rPr>
          <w:rFonts w:ascii="Times New Roman" w:hAnsi="Times New Roman"/>
          <w:b/>
          <w:color w:val="0D0D0D" w:themeColor="text1" w:themeTint="F2"/>
          <w:sz w:val="24"/>
          <w:szCs w:val="24"/>
        </w:rPr>
        <w:t xml:space="preserve">Kërkesa nëpërmjet regjistrit </w:t>
      </w:r>
    </w:p>
    <w:p w:rsidR="002C359A" w:rsidRPr="00000F0F" w:rsidRDefault="002C3FD3" w:rsidP="00000F0F">
      <w:pPr>
        <w:spacing w:line="276" w:lineRule="auto"/>
        <w:ind w:left="-142"/>
        <w:jc w:val="both"/>
      </w:pPr>
      <w:r w:rsidRPr="00000F0F">
        <w:rPr>
          <w:color w:val="0D0D0D" w:themeColor="text1" w:themeTint="F2"/>
        </w:rPr>
        <w:t>-</w:t>
      </w:r>
      <w:r w:rsidRPr="00000F0F">
        <w:rPr>
          <w:color w:val="000000" w:themeColor="text1"/>
        </w:rPr>
        <w:t>Me qëllim zbatimin e detyrimeve që burojnë nga ligji nr. 119/2014 “Për të drejtën e informimit”, si dhe duke synuar bërjen sa më efektive të së drejtës për informim si një e drejtë kushtetuese dhe një mjet për garantimin e llogaridhënies së autoriteteve publike, Zyra e Komisionerit për të Drejtën e Informimit dhe Mbrojtjen e të Dhënave Personale ka ngritur “Regjistrin elektronik të kërkesave dhe përgjigjeve për të drejtën e informimit” (REKPDI),</w:t>
      </w:r>
      <w:r w:rsidRPr="00000F0F">
        <w:rPr>
          <w:color w:val="0D0D0D" w:themeColor="text1" w:themeTint="F2"/>
        </w:rPr>
        <w:t xml:space="preserve"> </w:t>
      </w:r>
      <w:r w:rsidR="00532310" w:rsidRPr="00000F0F">
        <w:rPr>
          <w:color w:val="080808"/>
        </w:rPr>
        <w:t xml:space="preserve">miratuar me </w:t>
      </w:r>
      <w:r w:rsidR="00532310" w:rsidRPr="00000F0F">
        <w:t xml:space="preserve">VKM nr. 145/2018. </w:t>
      </w:r>
    </w:p>
    <w:p w:rsidR="002C359A" w:rsidRPr="00000F0F" w:rsidRDefault="002C359A" w:rsidP="00000F0F">
      <w:pPr>
        <w:spacing w:line="276" w:lineRule="auto"/>
        <w:ind w:left="-142"/>
        <w:jc w:val="both"/>
      </w:pPr>
      <w:r w:rsidRPr="00000F0F">
        <w:t xml:space="preserve">Portali </w:t>
      </w:r>
      <w:r w:rsidRPr="00000F0F">
        <w:rPr>
          <w:i/>
        </w:rPr>
        <w:t>pyetshtetin.al</w:t>
      </w:r>
      <w:r w:rsidRPr="00000F0F">
        <w:t xml:space="preserve"> është një instrument elektronik, i cili përbën një mënyrë të shpejtë dhe të thjeshtë për marrjen e informacionit me karakter publik nga qytetarët. Gjatë vitit 2022 është punuar në drejtim të përmirësimeve teknike dhe përditësimit/saktësimit të të dhënave për të gjitha autoritetet publike, si: emërtesat, kontaktet e koordinatorëve, lidhjen (link) me faqen zyrtare dhe veçanërisht, me PT, etj. I krijuar që në vitin 2018, Zyra e Komisionerit ka synuar që ky portal të funksionojë si një platformë e qendërzuar transparence proaktive. </w:t>
      </w:r>
    </w:p>
    <w:p w:rsidR="002C359A" w:rsidRPr="00000F0F" w:rsidRDefault="002C359A" w:rsidP="00000F0F">
      <w:pPr>
        <w:spacing w:line="276" w:lineRule="auto"/>
        <w:ind w:left="-142"/>
        <w:jc w:val="both"/>
      </w:pPr>
      <w:r w:rsidRPr="00000F0F">
        <w:t xml:space="preserve">Regjistri Elektronik i Kërkesave dhe Përgjigjeve për të Drejtën e Informimit (REKPDI), i integruar në këtë instrument sipas VKM nr. 145/2018, mundëson ushtrimin e të drejtës për informim me kërkesë dhe eventualisht, të ankesës pranë Zyrës së Komisionerit. Kjo mënyrë siguron përfshirjen e drejtpërdrejtë të koordinatorit dhe garanton gjurmueshmërinë e procesit, duke mos lënë hapësira për abuzim dhe/ose shmangie të përmbushjes së detyrimeve ligjore. </w:t>
      </w:r>
    </w:p>
    <w:p w:rsidR="002C359A" w:rsidRPr="00000F0F" w:rsidRDefault="002C359A" w:rsidP="00000F0F">
      <w:pPr>
        <w:spacing w:line="276" w:lineRule="auto"/>
        <w:jc w:val="both"/>
      </w:pPr>
    </w:p>
    <w:p w:rsidR="002C359A" w:rsidRPr="00000F0F" w:rsidRDefault="002C359A" w:rsidP="00000F0F">
      <w:pPr>
        <w:spacing w:line="276" w:lineRule="auto"/>
        <w:ind w:left="-142"/>
        <w:jc w:val="both"/>
      </w:pPr>
      <w:r w:rsidRPr="00000F0F">
        <w:t xml:space="preserve">Në vitin 2022 u realizua dyfishimi i instalimit të REKPDI, duke e çuar në 195 numrin e AP nga 95 që kjo shifër ishte në fund të 2021. Paralelisht, janë zhvilluar trajnime të rregullta me koordinatorët për mënyrën e përdorimit të tij. Nëpërmjet tij janë dërguar nga qytetarët dhe grupet e interesit 324 kërkesa për informacion, ndërsa janë administruar 101 ankesa nga Zyra e Komisionerit. </w:t>
      </w:r>
    </w:p>
    <w:p w:rsidR="002C359A" w:rsidRPr="00000F0F" w:rsidRDefault="002C3FD3" w:rsidP="00000F0F">
      <w:pPr>
        <w:spacing w:before="240" w:line="276" w:lineRule="auto"/>
        <w:jc w:val="both"/>
      </w:pPr>
      <w:r w:rsidRPr="00000F0F">
        <w:rPr>
          <w:color w:val="000000" w:themeColor="text1"/>
        </w:rPr>
        <w:t xml:space="preserve">Zyra e Komisionerit me qëllim përmbushjen e rekomandimit të Rezolutës së Kuvendit, </w:t>
      </w:r>
      <w:r w:rsidR="002C359A" w:rsidRPr="00000F0F">
        <w:t>Në përmbushje të Rezolutës së Kuvendit të Shqipërisë për vitin 2022, si dhe bazuar në nenin 14 të ligjit nr. 119/2014, Zyra e Komisionerit në bashkëpunim me AKSHI ka vijuar punën për instalimin e Sistemit të Menaxhimit të Aplikimit. Si një mënyrë alternative, AMS u mundëson qytetarëve kërkesën për informacion dhe të drejtën e ankesës</w:t>
      </w:r>
      <w:r w:rsidR="002C359A" w:rsidRPr="00000F0F">
        <w:rPr>
          <w:i/>
        </w:rPr>
        <w:t xml:space="preserve"> </w:t>
      </w:r>
      <w:r w:rsidR="002C359A" w:rsidRPr="00000F0F">
        <w:t>pranë Zyrës së Komisionerit. Ky sistem është bërë funksional edhe për 102 AP të tjera, duke e çuar totalin në 163 institucione në fund të vitit 2022. Koordinatorët janë trajnuar dhe njohur me modalitetet teknike të përdorimit të këtij sistemi, i cili, megjithatë, është përdorur në mënyrë shumë të kufizuar nga qytetarët.</w:t>
      </w:r>
    </w:p>
    <w:p w:rsidR="002C359A" w:rsidRPr="00000F0F" w:rsidRDefault="002C359A" w:rsidP="00000F0F">
      <w:pPr>
        <w:spacing w:line="276" w:lineRule="auto"/>
        <w:ind w:left="-142"/>
        <w:jc w:val="both"/>
        <w:rPr>
          <w:b/>
          <w:color w:val="0D0D0D"/>
        </w:rPr>
      </w:pPr>
    </w:p>
    <w:p w:rsidR="00CA1C01" w:rsidRPr="00000F0F" w:rsidRDefault="00CA1C01" w:rsidP="00000F0F">
      <w:pPr>
        <w:spacing w:line="276" w:lineRule="auto"/>
        <w:ind w:left="-142"/>
        <w:jc w:val="both"/>
        <w:rPr>
          <w:color w:val="0D0D0D" w:themeColor="text1" w:themeTint="F2"/>
        </w:rPr>
      </w:pPr>
      <w:r w:rsidRPr="00000F0F">
        <w:rPr>
          <w:b/>
          <w:color w:val="0D0D0D"/>
        </w:rPr>
        <w:t xml:space="preserve">Aktivitete të tjera mbështetëse. </w:t>
      </w:r>
    </w:p>
    <w:p w:rsidR="00CA1C01" w:rsidRPr="00000F0F" w:rsidRDefault="00CA1C01" w:rsidP="00000F0F">
      <w:pPr>
        <w:spacing w:before="240" w:after="120" w:line="276" w:lineRule="auto"/>
        <w:jc w:val="both"/>
        <w:rPr>
          <w:rFonts w:eastAsia="Calibri"/>
        </w:rPr>
      </w:pPr>
      <w:r w:rsidRPr="00000F0F">
        <w:rPr>
          <w:rFonts w:eastAsia="Calibri"/>
        </w:rPr>
        <w:t>Zyra e Komisionerit, si një institucion i cili ka në fokus nxitjen e transparencës dhe llogaridhënien e autoriteteve publike është pjesë e :</w:t>
      </w:r>
    </w:p>
    <w:p w:rsidR="00CA1C01" w:rsidRPr="00000F0F" w:rsidRDefault="00F843EA" w:rsidP="00000F0F">
      <w:pPr>
        <w:pStyle w:val="ListParagraph"/>
        <w:numPr>
          <w:ilvl w:val="0"/>
          <w:numId w:val="16"/>
        </w:numPr>
        <w:spacing w:after="160"/>
        <w:jc w:val="both"/>
        <w:rPr>
          <w:rFonts w:ascii="Times New Roman" w:eastAsia="Times New Roman" w:hAnsi="Times New Roman"/>
          <w:sz w:val="24"/>
          <w:szCs w:val="24"/>
        </w:rPr>
      </w:pPr>
      <w:r w:rsidRPr="00000F0F">
        <w:rPr>
          <w:rFonts w:ascii="Times New Roman" w:hAnsi="Times New Roman"/>
          <w:sz w:val="24"/>
          <w:szCs w:val="24"/>
        </w:rPr>
        <w:t>Strategjia Ndërsektoriale për Reformën në Administratën Publike 2015-2022 (SNRAP) dhe Plani i Aktiviteteve 2018-2022</w:t>
      </w:r>
      <w:r w:rsidRPr="00000F0F">
        <w:rPr>
          <w:rFonts w:ascii="Times New Roman" w:hAnsi="Times New Roman"/>
          <w:color w:val="0D0D0D" w:themeColor="text1" w:themeTint="F2"/>
          <w:sz w:val="24"/>
          <w:szCs w:val="24"/>
        </w:rPr>
        <w:t>;</w:t>
      </w:r>
    </w:p>
    <w:p w:rsidR="00532310" w:rsidRPr="00000F0F" w:rsidRDefault="00CA1C01" w:rsidP="00000F0F">
      <w:pPr>
        <w:pStyle w:val="ListParagraph"/>
        <w:numPr>
          <w:ilvl w:val="0"/>
          <w:numId w:val="16"/>
        </w:numPr>
        <w:spacing w:after="0"/>
        <w:rPr>
          <w:rFonts w:ascii="Times New Roman" w:hAnsi="Times New Roman"/>
          <w:color w:val="0D0D0D" w:themeColor="text1" w:themeTint="F2"/>
          <w:sz w:val="24"/>
          <w:szCs w:val="24"/>
        </w:rPr>
      </w:pPr>
      <w:r w:rsidRPr="00000F0F">
        <w:rPr>
          <w:rFonts w:ascii="Times New Roman" w:hAnsi="Times New Roman"/>
          <w:color w:val="0D0D0D" w:themeColor="text1" w:themeTint="F2"/>
          <w:sz w:val="24"/>
          <w:szCs w:val="24"/>
        </w:rPr>
        <w:t>Strategji</w:t>
      </w:r>
      <w:r w:rsidR="00532310" w:rsidRPr="00000F0F">
        <w:rPr>
          <w:rFonts w:ascii="Times New Roman" w:hAnsi="Times New Roman"/>
          <w:color w:val="0D0D0D" w:themeColor="text1" w:themeTint="F2"/>
          <w:sz w:val="24"/>
          <w:szCs w:val="24"/>
        </w:rPr>
        <w:t>së</w:t>
      </w:r>
      <w:r w:rsidRPr="00000F0F">
        <w:rPr>
          <w:rFonts w:ascii="Times New Roman" w:hAnsi="Times New Roman"/>
          <w:color w:val="0D0D0D" w:themeColor="text1" w:themeTint="F2"/>
          <w:sz w:val="24"/>
          <w:szCs w:val="24"/>
        </w:rPr>
        <w:t xml:space="preserve"> Ndërsektoriale Kundër Korrupsionit</w:t>
      </w:r>
      <w:r w:rsidR="00532310" w:rsidRPr="00000F0F">
        <w:rPr>
          <w:rFonts w:ascii="Times New Roman" w:hAnsi="Times New Roman"/>
          <w:color w:val="0D0D0D" w:themeColor="text1" w:themeTint="F2"/>
          <w:sz w:val="24"/>
          <w:szCs w:val="24"/>
        </w:rPr>
        <w:t xml:space="preserve"> dhe Plani i Veprimit 2020-2023</w:t>
      </w:r>
      <w:r w:rsidR="00F843EA" w:rsidRPr="00000F0F">
        <w:rPr>
          <w:rFonts w:ascii="Times New Roman" w:hAnsi="Times New Roman"/>
          <w:color w:val="0D0D0D" w:themeColor="text1" w:themeTint="F2"/>
          <w:sz w:val="24"/>
          <w:szCs w:val="24"/>
        </w:rPr>
        <w:t xml:space="preserve"> ( SNKK) </w:t>
      </w:r>
      <w:r w:rsidR="00532310" w:rsidRPr="00000F0F">
        <w:rPr>
          <w:rFonts w:ascii="Times New Roman" w:hAnsi="Times New Roman"/>
          <w:color w:val="0D0D0D" w:themeColor="text1" w:themeTint="F2"/>
          <w:sz w:val="24"/>
          <w:szCs w:val="24"/>
        </w:rPr>
        <w:t>;</w:t>
      </w:r>
    </w:p>
    <w:p w:rsidR="00532310" w:rsidRPr="00000F0F" w:rsidRDefault="00CA1C01" w:rsidP="00000F0F">
      <w:pPr>
        <w:pStyle w:val="Heading3"/>
        <w:numPr>
          <w:ilvl w:val="0"/>
          <w:numId w:val="16"/>
        </w:numPr>
        <w:spacing w:before="0"/>
        <w:jc w:val="both"/>
        <w:rPr>
          <w:rFonts w:ascii="Times New Roman" w:hAnsi="Times New Roman" w:cs="Times New Roman"/>
          <w:b w:val="0"/>
          <w:color w:val="0D0D0D" w:themeColor="text1" w:themeTint="F2"/>
          <w:sz w:val="24"/>
          <w:szCs w:val="24"/>
        </w:rPr>
      </w:pPr>
      <w:r w:rsidRPr="00000F0F">
        <w:rPr>
          <w:rFonts w:ascii="Times New Roman" w:hAnsi="Times New Roman" w:cs="Times New Roman"/>
          <w:b w:val="0"/>
          <w:color w:val="0D0D0D" w:themeColor="text1" w:themeTint="F2"/>
          <w:sz w:val="24"/>
          <w:szCs w:val="24"/>
        </w:rPr>
        <w:t>Strategji</w:t>
      </w:r>
      <w:r w:rsidR="00532310" w:rsidRPr="00000F0F">
        <w:rPr>
          <w:rFonts w:ascii="Times New Roman" w:hAnsi="Times New Roman" w:cs="Times New Roman"/>
          <w:b w:val="0"/>
          <w:color w:val="0D0D0D" w:themeColor="text1" w:themeTint="F2"/>
          <w:sz w:val="24"/>
          <w:szCs w:val="24"/>
        </w:rPr>
        <w:t>së</w:t>
      </w:r>
      <w:r w:rsidRPr="00000F0F">
        <w:rPr>
          <w:rFonts w:ascii="Times New Roman" w:hAnsi="Times New Roman" w:cs="Times New Roman"/>
          <w:b w:val="0"/>
          <w:color w:val="0D0D0D" w:themeColor="text1" w:themeTint="F2"/>
          <w:sz w:val="24"/>
          <w:szCs w:val="24"/>
        </w:rPr>
        <w:t xml:space="preserve"> për Edukimin Ligjor të Publikut </w:t>
      </w:r>
      <w:r w:rsidR="00532310" w:rsidRPr="00000F0F">
        <w:rPr>
          <w:rFonts w:ascii="Times New Roman" w:hAnsi="Times New Roman" w:cs="Times New Roman"/>
          <w:b w:val="0"/>
          <w:color w:val="0D0D0D" w:themeColor="text1" w:themeTint="F2"/>
          <w:sz w:val="24"/>
          <w:szCs w:val="24"/>
        </w:rPr>
        <w:t xml:space="preserve">2019-2023 dhe Plani i Veprimit                    </w:t>
      </w:r>
      <w:r w:rsidRPr="00000F0F">
        <w:rPr>
          <w:rFonts w:ascii="Times New Roman" w:hAnsi="Times New Roman" w:cs="Times New Roman"/>
          <w:b w:val="0"/>
          <w:color w:val="0D0D0D" w:themeColor="text1" w:themeTint="F2"/>
          <w:sz w:val="24"/>
          <w:szCs w:val="24"/>
        </w:rPr>
        <w:t>2019–2023</w:t>
      </w:r>
      <w:r w:rsidR="00F843EA" w:rsidRPr="00000F0F">
        <w:rPr>
          <w:rFonts w:ascii="Times New Roman" w:hAnsi="Times New Roman" w:cs="Times New Roman"/>
          <w:b w:val="0"/>
          <w:color w:val="0D0D0D" w:themeColor="text1" w:themeTint="F2"/>
          <w:sz w:val="24"/>
          <w:szCs w:val="24"/>
        </w:rPr>
        <w:t xml:space="preserve"> ( SELP) </w:t>
      </w:r>
      <w:r w:rsidR="00532310" w:rsidRPr="00000F0F">
        <w:rPr>
          <w:rFonts w:ascii="Times New Roman" w:hAnsi="Times New Roman" w:cs="Times New Roman"/>
          <w:b w:val="0"/>
          <w:color w:val="0D0D0D" w:themeColor="text1" w:themeTint="F2"/>
          <w:sz w:val="24"/>
          <w:szCs w:val="24"/>
        </w:rPr>
        <w:t>;</w:t>
      </w:r>
    </w:p>
    <w:p w:rsidR="00CA1C01" w:rsidRPr="00000F0F" w:rsidRDefault="00F843EA" w:rsidP="00000F0F">
      <w:pPr>
        <w:pStyle w:val="ListParagraph"/>
        <w:numPr>
          <w:ilvl w:val="0"/>
          <w:numId w:val="16"/>
        </w:numPr>
        <w:spacing w:after="160"/>
        <w:rPr>
          <w:rFonts w:ascii="Times New Roman" w:eastAsia="Times New Roman" w:hAnsi="Times New Roman"/>
          <w:sz w:val="24"/>
          <w:szCs w:val="24"/>
          <w:lang w:eastAsia="ja-JP"/>
        </w:rPr>
      </w:pPr>
      <w:r w:rsidRPr="00000F0F">
        <w:rPr>
          <w:rFonts w:ascii="Times New Roman" w:eastAsia="Times New Roman" w:hAnsi="Times New Roman"/>
          <w:sz w:val="24"/>
          <w:szCs w:val="24"/>
          <w:lang w:eastAsia="ja-JP"/>
        </w:rPr>
        <w:t>Kontrata e Suportit Buxhetor për Mirëqeverisjen 2020</w:t>
      </w:r>
      <w:r w:rsidR="00532310" w:rsidRPr="00000F0F">
        <w:rPr>
          <w:rFonts w:ascii="Times New Roman" w:hAnsi="Times New Roman"/>
          <w:color w:val="0D0D0D" w:themeColor="text1" w:themeTint="F2"/>
          <w:sz w:val="24"/>
          <w:szCs w:val="24"/>
        </w:rPr>
        <w:t>;</w:t>
      </w:r>
    </w:p>
    <w:p w:rsidR="00F843EA" w:rsidRPr="00000F0F" w:rsidRDefault="00F843EA" w:rsidP="00000F0F">
      <w:pPr>
        <w:pStyle w:val="ListParagraph"/>
        <w:numPr>
          <w:ilvl w:val="0"/>
          <w:numId w:val="16"/>
        </w:numPr>
        <w:spacing w:after="0"/>
        <w:jc w:val="both"/>
        <w:rPr>
          <w:rFonts w:ascii="Times New Roman" w:eastAsia="Times New Roman" w:hAnsi="Times New Roman"/>
          <w:color w:val="808080" w:themeColor="background1" w:themeShade="80"/>
          <w:sz w:val="24"/>
          <w:szCs w:val="24"/>
          <w:lang w:eastAsia="ja-JP"/>
        </w:rPr>
      </w:pPr>
      <w:r w:rsidRPr="00000F0F">
        <w:rPr>
          <w:rFonts w:ascii="Times New Roman" w:eastAsia="Times New Roman" w:hAnsi="Times New Roman"/>
          <w:sz w:val="24"/>
          <w:szCs w:val="24"/>
          <w:lang w:eastAsia="ja-JP"/>
        </w:rPr>
        <w:t>Agjenda Kombëtare për të Drejtat e Fëmijëve (AKDF) dhe Plani i Veprimit 2021-2026</w:t>
      </w:r>
    </w:p>
    <w:p w:rsidR="00F843EA" w:rsidRPr="00000F0F" w:rsidRDefault="00F843EA" w:rsidP="00000F0F">
      <w:pPr>
        <w:pStyle w:val="ListParagraph"/>
        <w:numPr>
          <w:ilvl w:val="0"/>
          <w:numId w:val="16"/>
        </w:numPr>
        <w:spacing w:after="160"/>
        <w:jc w:val="both"/>
        <w:rPr>
          <w:rFonts w:ascii="Times New Roman" w:hAnsi="Times New Roman"/>
          <w:sz w:val="24"/>
          <w:szCs w:val="24"/>
          <w:lang w:eastAsia="ja-JP"/>
        </w:rPr>
      </w:pPr>
      <w:r w:rsidRPr="00000F0F">
        <w:rPr>
          <w:rFonts w:ascii="Times New Roman" w:hAnsi="Times New Roman"/>
          <w:sz w:val="24"/>
          <w:szCs w:val="24"/>
          <w:lang w:eastAsia="ja-JP"/>
        </w:rPr>
        <w:t xml:space="preserve">Projekt - Strategjia Kombëtare për Zhvillim dhe Integrim 2030 (SKZHI) </w:t>
      </w:r>
    </w:p>
    <w:p w:rsidR="00CA1C01" w:rsidRPr="00000F0F" w:rsidRDefault="00F843EA" w:rsidP="00000F0F">
      <w:pPr>
        <w:pStyle w:val="ListParagraph"/>
        <w:numPr>
          <w:ilvl w:val="0"/>
          <w:numId w:val="16"/>
        </w:numPr>
        <w:spacing w:after="160"/>
        <w:jc w:val="both"/>
        <w:rPr>
          <w:rFonts w:ascii="Times New Roman" w:hAnsi="Times New Roman"/>
          <w:sz w:val="24"/>
          <w:szCs w:val="24"/>
        </w:rPr>
      </w:pPr>
      <w:r w:rsidRPr="00000F0F">
        <w:rPr>
          <w:rFonts w:ascii="Times New Roman" w:hAnsi="Times New Roman"/>
          <w:sz w:val="24"/>
          <w:szCs w:val="24"/>
        </w:rPr>
        <w:t>Strategjia Ndërsektoriale e Drejtësisë për të Mitur (SNDM) dhe Plani i Veprimit 2022-2026</w:t>
      </w:r>
    </w:p>
    <w:p w:rsidR="00CA1C01" w:rsidRPr="00000F0F" w:rsidRDefault="009B0295" w:rsidP="00000F0F">
      <w:pPr>
        <w:spacing w:after="80" w:line="276" w:lineRule="auto"/>
        <w:ind w:right="144"/>
        <w:jc w:val="both"/>
        <w:rPr>
          <w:color w:val="000000" w:themeColor="text1"/>
        </w:rPr>
      </w:pPr>
      <w:r w:rsidRPr="00000F0F">
        <w:rPr>
          <w:color w:val="000000" w:themeColor="text1"/>
        </w:rPr>
        <w:t>-</w:t>
      </w:r>
      <w:r w:rsidR="00CA1C01" w:rsidRPr="00000F0F">
        <w:rPr>
          <w:color w:val="000000" w:themeColor="text1"/>
        </w:rPr>
        <w:t>Zyra e Komisionerit ka nisur në bashkëpunim me Ambasadën Britanike për projektin "</w:t>
      </w:r>
      <w:r w:rsidR="00CA1C01" w:rsidRPr="00000F0F">
        <w:rPr>
          <w:i/>
          <w:color w:val="000000" w:themeColor="text1"/>
        </w:rPr>
        <w:t>Improving the openness and accountability of the governments of the Western Balkans through the development of effective strategic communications</w:t>
      </w:r>
      <w:r w:rsidR="00CA1C01" w:rsidRPr="00000F0F">
        <w:rPr>
          <w:color w:val="000000" w:themeColor="text1"/>
        </w:rPr>
        <w:t>". Ky është një projekt trevje</w:t>
      </w:r>
      <w:r w:rsidR="004A7BBA" w:rsidRPr="00000F0F">
        <w:rPr>
          <w:color w:val="000000" w:themeColor="text1"/>
        </w:rPr>
        <w:t>ç</w:t>
      </w:r>
      <w:r w:rsidR="00CA1C01" w:rsidRPr="00000F0F">
        <w:rPr>
          <w:color w:val="000000" w:themeColor="text1"/>
        </w:rPr>
        <w:t xml:space="preserve">ar i implementuar nga </w:t>
      </w:r>
      <w:r w:rsidR="00CA1C01" w:rsidRPr="00000F0F">
        <w:rPr>
          <w:i/>
          <w:color w:val="000000" w:themeColor="text1"/>
        </w:rPr>
        <w:t>Government Communications Service International</w:t>
      </w:r>
      <w:r w:rsidR="00CA1C01" w:rsidRPr="00000F0F">
        <w:rPr>
          <w:color w:val="000000" w:themeColor="text1"/>
        </w:rPr>
        <w:t xml:space="preserve"> i zyrës së kabinetit të Mbretërisë së Bashkuar. Në këtë kuadër janë zhvilluar disa takime me përfaqësues të autoriteteve publike, Zyrës së Komisionerit dhe ekspertëve </w:t>
      </w:r>
      <w:r w:rsidR="004A7BBA" w:rsidRPr="00000F0F">
        <w:rPr>
          <w:color w:val="000000" w:themeColor="text1"/>
        </w:rPr>
        <w:t xml:space="preserve">britanikë. Në përfundim të tyre </w:t>
      </w:r>
      <w:r w:rsidR="0093442E" w:rsidRPr="00000F0F">
        <w:rPr>
          <w:color w:val="000000" w:themeColor="text1"/>
        </w:rPr>
        <w:t>jane realizuar produkte konkrete (</w:t>
      </w:r>
      <w:r w:rsidR="00CA1C01" w:rsidRPr="00000F0F">
        <w:rPr>
          <w:color w:val="000000" w:themeColor="text1"/>
        </w:rPr>
        <w:t>manual, mate</w:t>
      </w:r>
      <w:r w:rsidR="0093442E" w:rsidRPr="00000F0F">
        <w:rPr>
          <w:color w:val="000000" w:themeColor="text1"/>
        </w:rPr>
        <w:t>riale sqaruese dhe promocionale)</w:t>
      </w:r>
      <w:r w:rsidR="004A7BBA" w:rsidRPr="00000F0F">
        <w:rPr>
          <w:color w:val="000000" w:themeColor="text1"/>
        </w:rPr>
        <w:t>.</w:t>
      </w:r>
    </w:p>
    <w:p w:rsidR="00CA1C01" w:rsidRPr="00000F0F" w:rsidRDefault="00CA1C01" w:rsidP="00000F0F">
      <w:pPr>
        <w:spacing w:after="80" w:line="276" w:lineRule="auto"/>
        <w:ind w:right="144"/>
        <w:jc w:val="both"/>
        <w:rPr>
          <w:color w:val="000000" w:themeColor="text1"/>
        </w:rPr>
      </w:pPr>
      <w:r w:rsidRPr="00000F0F">
        <w:rPr>
          <w:color w:val="000000" w:themeColor="text1"/>
        </w:rPr>
        <w:t xml:space="preserve">-Zyra e Komisionerit për të Drejtën e Informimit dhe Mbrojtjen e të Dhënave Personale ka </w:t>
      </w:r>
      <w:r w:rsidR="0093442E" w:rsidRPr="00000F0F">
        <w:rPr>
          <w:color w:val="000000" w:themeColor="text1"/>
        </w:rPr>
        <w:t>i</w:t>
      </w:r>
      <w:r w:rsidR="004A7BBA" w:rsidRPr="00000F0F">
        <w:rPr>
          <w:color w:val="000000" w:themeColor="text1"/>
        </w:rPr>
        <w:t>niciuar një tur në të 12 qarqet e vendit, brenda vitit 2022,</w:t>
      </w:r>
      <w:r w:rsidR="0093442E" w:rsidRPr="00000F0F">
        <w:rPr>
          <w:color w:val="000000" w:themeColor="text1"/>
        </w:rPr>
        <w:t xml:space="preserve"> </w:t>
      </w:r>
      <w:r w:rsidRPr="00000F0F">
        <w:rPr>
          <w:color w:val="000000" w:themeColor="text1"/>
        </w:rPr>
        <w:t xml:space="preserve">në kuadër të projektit “Ditët e Transparencës”, </w:t>
      </w:r>
      <w:r w:rsidR="004A7BBA" w:rsidRPr="00000F0F">
        <w:rPr>
          <w:color w:val="000000" w:themeColor="text1"/>
        </w:rPr>
        <w:t>me</w:t>
      </w:r>
      <w:r w:rsidR="0093442E" w:rsidRPr="00000F0F">
        <w:rPr>
          <w:color w:val="000000" w:themeColor="text1"/>
        </w:rPr>
        <w:t xml:space="preserve"> </w:t>
      </w:r>
      <w:r w:rsidRPr="00000F0F">
        <w:rPr>
          <w:color w:val="000000" w:themeColor="text1"/>
        </w:rPr>
        <w:t>pjesë</w:t>
      </w:r>
      <w:r w:rsidR="0093442E" w:rsidRPr="00000F0F">
        <w:rPr>
          <w:color w:val="000000" w:themeColor="text1"/>
        </w:rPr>
        <w:t xml:space="preserve">marrje </w:t>
      </w:r>
      <w:r w:rsidRPr="00000F0F">
        <w:rPr>
          <w:color w:val="000000" w:themeColor="text1"/>
        </w:rPr>
        <w:t xml:space="preserve">të </w:t>
      </w:r>
      <w:r w:rsidR="0093442E" w:rsidRPr="00000F0F">
        <w:rPr>
          <w:color w:val="000000" w:themeColor="text1"/>
        </w:rPr>
        <w:t xml:space="preserve">të </w:t>
      </w:r>
      <w:r w:rsidRPr="00000F0F">
        <w:rPr>
          <w:color w:val="000000" w:themeColor="text1"/>
        </w:rPr>
        <w:t>gjithë autoritete</w:t>
      </w:r>
      <w:r w:rsidR="0093442E" w:rsidRPr="00000F0F">
        <w:rPr>
          <w:color w:val="000000" w:themeColor="text1"/>
        </w:rPr>
        <w:t xml:space="preserve">ve </w:t>
      </w:r>
      <w:r w:rsidRPr="00000F0F">
        <w:rPr>
          <w:color w:val="000000" w:themeColor="text1"/>
        </w:rPr>
        <w:t xml:space="preserve">publike që ushtrojnë veprimtarinë </w:t>
      </w:r>
      <w:r w:rsidR="0093442E" w:rsidRPr="00000F0F">
        <w:rPr>
          <w:color w:val="000000" w:themeColor="text1"/>
        </w:rPr>
        <w:t>në Qarkun e tyre.</w:t>
      </w:r>
      <w:r w:rsidR="00F870EB" w:rsidRPr="00000F0F">
        <w:rPr>
          <w:color w:val="000000" w:themeColor="text1"/>
        </w:rPr>
        <w:t xml:space="preserve"> Zyra e Komisionerit për të Drejtën e Informimit dhe </w:t>
      </w:r>
      <w:r w:rsidR="00F870EB" w:rsidRPr="00000F0F">
        <w:rPr>
          <w:color w:val="000000" w:themeColor="text1"/>
        </w:rPr>
        <w:lastRenderedPageBreak/>
        <w:t xml:space="preserve">Mbrojtjen e të Dhënave Personale ka organizuar në </w:t>
      </w:r>
      <w:r w:rsidR="006F726C" w:rsidRPr="00000F0F">
        <w:rPr>
          <w:color w:val="000000" w:themeColor="text1"/>
        </w:rPr>
        <w:t>6</w:t>
      </w:r>
      <w:r w:rsidR="00F870EB" w:rsidRPr="00000F0F">
        <w:rPr>
          <w:color w:val="000000" w:themeColor="text1"/>
        </w:rPr>
        <w:t xml:space="preserve"> qarqe si në qytetet e </w:t>
      </w:r>
      <w:r w:rsidR="006F726C" w:rsidRPr="00000F0F">
        <w:t>Lezhë, Berat, Elbasan, Kukës, Durrës dhe Diber</w:t>
      </w:r>
      <w:r w:rsidR="00554F54" w:rsidRPr="00000F0F">
        <w:t xml:space="preserve">. Qëllimi kryesor i saj është njohja  e situatës dhe zbatimi i detyrimeve të parashikuara në legjislacionin për të drejtën e informimit. Nga ana tjetër, në fokus është ndërgjegjësimi i përfshirjes të sa më shumë aktorëve në këtë proces: qytetarë, organizata të shoqërisë civile dhe media, për të ushtruar presion pozitiv te AP me synim forcimin e transparencës proaktive dhe qeverisjen e mirë. </w:t>
      </w:r>
      <w:r w:rsidR="006F726C" w:rsidRPr="00000F0F">
        <w:t xml:space="preserve">Kjo nismë do të vijojë të zbatohet edhe me takime në gjysmën tjetër të qarqeve të vendit gjatë vitit 2023. Rezultat i bashkëveprimit të Zyrës së Komsionerit me njësitë e vetëqeverisjes vendore reflektohet edhe në gjetjet e </w:t>
      </w:r>
      <w:r w:rsidR="006F726C" w:rsidRPr="00000F0F">
        <w:rPr>
          <w:color w:val="0D0D0D" w:themeColor="text1" w:themeTint="F2"/>
        </w:rPr>
        <w:t>Raportit të Komisionit Evropian 2022 për Shqipërinë, ku vlerësohet përmirësimi i transparencës së bashkive, duke qenë se të gjitha NJVV kanë publikuar vendimet e këshillave të tyre</w:t>
      </w:r>
    </w:p>
    <w:p w:rsidR="0093442E" w:rsidRPr="00000F0F" w:rsidRDefault="004A7BBA" w:rsidP="00000F0F">
      <w:pPr>
        <w:spacing w:after="80" w:line="276" w:lineRule="auto"/>
        <w:ind w:right="144"/>
        <w:jc w:val="both"/>
        <w:sectPr w:rsidR="0093442E" w:rsidRPr="00000F0F" w:rsidSect="00CC7130">
          <w:footerReference w:type="default" r:id="rId10"/>
          <w:pgSz w:w="11906" w:h="16838" w:code="9"/>
          <w:pgMar w:top="1134" w:right="1701" w:bottom="1134" w:left="1701" w:header="357" w:footer="369" w:gutter="0"/>
          <w:cols w:space="708"/>
          <w:docGrid w:linePitch="360"/>
        </w:sectPr>
      </w:pPr>
      <w:r w:rsidRPr="00000F0F">
        <w:t>-</w:t>
      </w:r>
      <w:r w:rsidR="00CA1C01" w:rsidRPr="00000F0F">
        <w:rPr>
          <w:color w:val="000000" w:themeColor="text1"/>
        </w:rPr>
        <w:t xml:space="preserve">Zyra e Komisionerit ka marrë pjesë në </w:t>
      </w:r>
      <w:r w:rsidR="0093442E" w:rsidRPr="00000F0F">
        <w:rPr>
          <w:color w:val="000000" w:themeColor="text1"/>
        </w:rPr>
        <w:t xml:space="preserve">mjaft takime/tryeza konsultuese </w:t>
      </w:r>
      <w:r w:rsidR="0093442E" w:rsidRPr="00000F0F">
        <w:t>trajnuese me pjesëmarrjen e partnerëve ndërkombëtarë, ekspertëve të fushës, shoq</w:t>
      </w:r>
      <w:r w:rsidRPr="00000F0F">
        <w:t>ërisë</w:t>
      </w:r>
      <w:r w:rsidR="0093442E" w:rsidRPr="00000F0F">
        <w:t xml:space="preserve"> civile</w:t>
      </w:r>
      <w:r w:rsidR="00FE0BF7" w:rsidRPr="00000F0F">
        <w:t xml:space="preserve">, te cilat jane te publikuara ne faqen zyrtare www.idp.al . </w:t>
      </w:r>
      <w:r w:rsidR="0093442E" w:rsidRPr="00000F0F">
        <w:t xml:space="preserve"> Në fokus të tyre ka qenë vlerësimi i ecurisë së zbatimit të legjislacionit të të drejtës për informim dhe bashkëpunimi në kuadër të projekteve që forcojnë dhe nxisin transparencën dhe llogar</w:t>
      </w:r>
      <w:r w:rsidR="009B0295" w:rsidRPr="00000F0F">
        <w:t>idhënien e Autoriteteve Publike.</w:t>
      </w:r>
    </w:p>
    <w:p w:rsidR="00AE7FED" w:rsidRPr="00000F0F" w:rsidRDefault="0093442E" w:rsidP="00000F0F">
      <w:pPr>
        <w:spacing w:after="80" w:line="276" w:lineRule="auto"/>
        <w:ind w:right="144"/>
        <w:jc w:val="both"/>
      </w:pPr>
      <w:r w:rsidRPr="00000F0F">
        <w:lastRenderedPageBreak/>
        <w:t xml:space="preserve"> </w:t>
      </w:r>
    </w:p>
    <w:p w:rsidR="00AE7FED" w:rsidRPr="00000F0F" w:rsidRDefault="00AE7FED" w:rsidP="00000F0F">
      <w:pPr>
        <w:spacing w:after="40" w:line="276" w:lineRule="auto"/>
        <w:jc w:val="both"/>
        <w:rPr>
          <w:b/>
        </w:rPr>
      </w:pPr>
      <w:r w:rsidRPr="00000F0F">
        <w:rPr>
          <w:b/>
        </w:rPr>
        <w:t xml:space="preserve">MBROJTJA E TË DHËNAVE PERSONALE </w:t>
      </w:r>
    </w:p>
    <w:p w:rsidR="00AE7FED" w:rsidRPr="00000F0F" w:rsidRDefault="00AE7FED" w:rsidP="00000F0F">
      <w:pPr>
        <w:spacing w:after="40" w:line="276" w:lineRule="auto"/>
        <w:jc w:val="both"/>
        <w:rPr>
          <w:b/>
        </w:rPr>
      </w:pPr>
    </w:p>
    <w:p w:rsidR="00AE7FED" w:rsidRPr="00000F0F" w:rsidRDefault="00AE7FED" w:rsidP="00000F0F">
      <w:pPr>
        <w:pStyle w:val="BodyText"/>
        <w:numPr>
          <w:ilvl w:val="0"/>
          <w:numId w:val="3"/>
        </w:numPr>
        <w:spacing w:after="0" w:line="276" w:lineRule="auto"/>
        <w:jc w:val="both"/>
        <w:rPr>
          <w:b/>
        </w:rPr>
      </w:pPr>
      <w:r w:rsidRPr="00000F0F">
        <w:rPr>
          <w:rFonts w:eastAsia="Batang"/>
          <w:b/>
        </w:rPr>
        <w:t xml:space="preserve">Nënprodukti C: </w:t>
      </w:r>
      <w:r w:rsidRPr="00000F0F">
        <w:rPr>
          <w:b/>
        </w:rPr>
        <w:t>Mbikëqyrje dhe inspektime, i ndryshuar, (Inspektime m</w:t>
      </w:r>
      <w:r w:rsidR="004A7BBA" w:rsidRPr="00000F0F">
        <w:rPr>
          <w:b/>
        </w:rPr>
        <w:t>bi bazë ankese dhe kryesisht +-</w:t>
      </w:r>
      <w:r w:rsidRPr="00000F0F">
        <w:rPr>
          <w:b/>
        </w:rPr>
        <w:t>30), i ndryshuar</w:t>
      </w:r>
    </w:p>
    <w:p w:rsidR="00DC21EF" w:rsidRPr="00000F0F" w:rsidRDefault="00DC21EF" w:rsidP="00000F0F">
      <w:pPr>
        <w:pStyle w:val="BodyText"/>
        <w:spacing w:after="0" w:line="276" w:lineRule="auto"/>
        <w:ind w:left="720"/>
        <w:jc w:val="both"/>
        <w:rPr>
          <w:b/>
        </w:rPr>
      </w:pPr>
    </w:p>
    <w:p w:rsidR="00DC21EF" w:rsidRPr="00000F0F" w:rsidRDefault="00DC21EF" w:rsidP="00000F0F">
      <w:pPr>
        <w:spacing w:after="200" w:line="276" w:lineRule="auto"/>
        <w:jc w:val="both"/>
      </w:pPr>
      <w:r w:rsidRPr="00000F0F">
        <w:rPr>
          <w:rFonts w:eastAsia="Calibri"/>
        </w:rPr>
        <w:t xml:space="preserve">Për </w:t>
      </w:r>
      <w:r w:rsidR="009B0295" w:rsidRPr="00000F0F">
        <w:rPr>
          <w:rFonts w:eastAsia="Calibri"/>
        </w:rPr>
        <w:t xml:space="preserve">vitin 2022, janë </w:t>
      </w:r>
      <w:r w:rsidR="009B0295" w:rsidRPr="00000F0F">
        <w:t xml:space="preserve"> zhvilluar  48 procedura hetimi administrativ, prej të cilat 10 mbi bazë ankese individuale dhe 38 me iniciativën e Zyrës së Komisionerit (</w:t>
      </w:r>
      <w:r w:rsidR="009B0295" w:rsidRPr="00000F0F">
        <w:rPr>
          <w:i/>
        </w:rPr>
        <w:t>ex-officio)</w:t>
      </w:r>
      <w:r w:rsidR="009B0295" w:rsidRPr="00000F0F">
        <w:t>. Sa i përket sferave të veprimtarisë, 10 procese hetimi administrativ u ndërmorrën në kontrollues publik dhe 38 në kontrollues privat.</w:t>
      </w:r>
      <w:r w:rsidR="009B0295" w:rsidRPr="00000F0F">
        <w:rPr>
          <w:rFonts w:eastAsia="Calibri"/>
        </w:rPr>
        <w:t xml:space="preserve"> </w:t>
      </w:r>
    </w:p>
    <w:p w:rsidR="00AE7FED" w:rsidRPr="00000F0F" w:rsidRDefault="00AE7FED" w:rsidP="00000F0F">
      <w:pPr>
        <w:numPr>
          <w:ilvl w:val="0"/>
          <w:numId w:val="5"/>
        </w:numPr>
        <w:spacing w:line="276" w:lineRule="auto"/>
        <w:jc w:val="both"/>
        <w:rPr>
          <w:b/>
          <w:bCs/>
          <w:i/>
          <w:color w:val="000000" w:themeColor="text1"/>
        </w:rPr>
      </w:pPr>
      <w:r w:rsidRPr="00000F0F">
        <w:rPr>
          <w:b/>
          <w:i/>
          <w:color w:val="000000" w:themeColor="text1"/>
        </w:rPr>
        <w:t>Rekomandime/Vendime gjobe</w:t>
      </w:r>
    </w:p>
    <w:p w:rsidR="00AE7FED" w:rsidRPr="00000F0F" w:rsidRDefault="00AE7FED" w:rsidP="00000F0F">
      <w:pPr>
        <w:spacing w:line="276" w:lineRule="auto"/>
        <w:jc w:val="both"/>
        <w:rPr>
          <w:b/>
          <w:bCs/>
          <w:i/>
          <w:color w:val="000000" w:themeColor="text1"/>
        </w:rPr>
      </w:pPr>
    </w:p>
    <w:p w:rsidR="009B0295" w:rsidRPr="00000F0F" w:rsidRDefault="009B0295" w:rsidP="00000F0F">
      <w:pPr>
        <w:spacing w:line="276" w:lineRule="auto"/>
        <w:jc w:val="both"/>
      </w:pPr>
      <w:r w:rsidRPr="00000F0F">
        <w:t xml:space="preserve">Zyra e Komisionerit ka ushtruar hetime administrative në kuadër të verifikimeve të zbatimit të 101 rekomandimeve të dhëna në periudhën 2019-2021, si në sferën publike ashtu edhe në atë private. Në tërësi konstatohet se një numër i konsiderueshëm i kontrolluesve kanë përmbushur detyrimet ligjore, plotësisht dhe në afatet e përcaktuara, çka përbën tregues për ndërgjegjësimin në rritje për mbrojtjen e të dhënave personale të qytetarëve. Nga ana tjetër, për 7 kontrollues Komisioneri ka dalë me Vendim me saksione administrative për mospërmbushje të detyrimeve si: përpunimin e ligjshëm të të dhënave, mosgarantimin e të drejtave të qytetarëve apo mosmarrja e masave të përshtatshme tekniko-organizative për sigurinë e të dhënave.  </w:t>
      </w:r>
    </w:p>
    <w:p w:rsidR="009B0295" w:rsidRPr="00000F0F" w:rsidRDefault="009B0295" w:rsidP="00000F0F">
      <w:pPr>
        <w:spacing w:line="276" w:lineRule="auto"/>
        <w:contextualSpacing/>
        <w:jc w:val="both"/>
      </w:pPr>
      <w:r w:rsidRPr="00000F0F">
        <w:t xml:space="preserve">Në zbatim të detyrimeve ligjore, për qartësimin e rrethanave dhe fakteve në lidhje me të gjitha proceset administrative të kryera, u zhvilluan </w:t>
      </w:r>
      <w:r w:rsidRPr="00000F0F">
        <w:rPr>
          <w:b/>
        </w:rPr>
        <w:t>41 seanca dëgjimore</w:t>
      </w:r>
      <w:r w:rsidRPr="00000F0F">
        <w:t xml:space="preserve"> me pjesëmarrjen e palëve. Vendimmarrja në këtë kuadër ka konsistuar në </w:t>
      </w:r>
    </w:p>
    <w:p w:rsidR="009B0295" w:rsidRPr="00000F0F" w:rsidRDefault="009B0295" w:rsidP="00000F0F">
      <w:pPr>
        <w:numPr>
          <w:ilvl w:val="0"/>
          <w:numId w:val="32"/>
        </w:numPr>
        <w:spacing w:line="276" w:lineRule="auto"/>
        <w:ind w:left="360"/>
        <w:contextualSpacing/>
        <w:jc w:val="both"/>
        <w:rPr>
          <w:rFonts w:eastAsia="Calibri"/>
        </w:rPr>
      </w:pPr>
      <w:r w:rsidRPr="00000F0F">
        <w:rPr>
          <w:rFonts w:eastAsia="Calibri"/>
        </w:rPr>
        <w:t xml:space="preserve">1 Urdhër </w:t>
      </w:r>
      <w:r w:rsidRPr="00000F0F">
        <w:rPr>
          <w:bCs/>
          <w:iCs/>
        </w:rPr>
        <w:t>për fshirjen e të dhënave personale</w:t>
      </w:r>
    </w:p>
    <w:p w:rsidR="009B0295" w:rsidRPr="00000F0F" w:rsidRDefault="009B0295" w:rsidP="00000F0F">
      <w:pPr>
        <w:numPr>
          <w:ilvl w:val="0"/>
          <w:numId w:val="32"/>
        </w:numPr>
        <w:spacing w:line="276" w:lineRule="auto"/>
        <w:ind w:left="360"/>
        <w:contextualSpacing/>
        <w:jc w:val="both"/>
        <w:rPr>
          <w:rFonts w:eastAsia="Calibri"/>
        </w:rPr>
      </w:pPr>
      <w:r w:rsidRPr="00000F0F">
        <w:t>8 Rekomandime specifike</w:t>
      </w:r>
    </w:p>
    <w:p w:rsidR="009B0295" w:rsidRPr="00000F0F" w:rsidRDefault="009B0295" w:rsidP="00000F0F">
      <w:pPr>
        <w:numPr>
          <w:ilvl w:val="0"/>
          <w:numId w:val="32"/>
        </w:numPr>
        <w:spacing w:line="276" w:lineRule="auto"/>
        <w:ind w:left="360"/>
        <w:contextualSpacing/>
        <w:jc w:val="both"/>
        <w:rPr>
          <w:rFonts w:eastAsia="Calibri"/>
        </w:rPr>
      </w:pPr>
      <w:r w:rsidRPr="00000F0F">
        <w:t>1 Rekomandim unifikues</w:t>
      </w:r>
    </w:p>
    <w:p w:rsidR="009B0295" w:rsidRPr="00000F0F" w:rsidRDefault="009B0295" w:rsidP="00000F0F">
      <w:pPr>
        <w:spacing w:line="276" w:lineRule="auto"/>
        <w:contextualSpacing/>
        <w:jc w:val="both"/>
      </w:pPr>
    </w:p>
    <w:p w:rsidR="00DC21EF" w:rsidRPr="00000F0F" w:rsidRDefault="009B0295" w:rsidP="00000F0F">
      <w:pPr>
        <w:spacing w:line="276" w:lineRule="auto"/>
        <w:jc w:val="both"/>
      </w:pPr>
      <w:r w:rsidRPr="00000F0F">
        <w:t>Zyra e Komisionerit trajtoi 5 praktika në lidhje me respektimin e parashikimeve rregullatore për transferimin ndërkombëtar të të dhënave personale të qytetarëve shqiptarë në disa shtete pa nivel të mjaftueshëm të mbrojtjes së tyre.</w:t>
      </w:r>
    </w:p>
    <w:p w:rsidR="009B0295" w:rsidRPr="00000F0F" w:rsidRDefault="009B0295" w:rsidP="00000F0F">
      <w:pPr>
        <w:spacing w:line="276" w:lineRule="auto"/>
        <w:jc w:val="both"/>
        <w:rPr>
          <w:rFonts w:eastAsia="Batang"/>
          <w:lang w:val="de-DE" w:eastAsia="ko-KR"/>
        </w:rPr>
      </w:pPr>
    </w:p>
    <w:p w:rsidR="009B0295" w:rsidRPr="00000F0F" w:rsidRDefault="009B0295" w:rsidP="00000F0F">
      <w:pPr>
        <w:spacing w:line="276" w:lineRule="auto"/>
        <w:jc w:val="both"/>
      </w:pPr>
      <w:r w:rsidRPr="00000F0F">
        <w:t xml:space="preserve">Gjatë vitit 2022, në përmbushje të detyrimit ligjor kanë njoftuar për përpunimin e të dhënave personale 57 subjekte kontrolluese. Gjithashtu, u regjistruan deklaratat e 35 kontrolluesve për ndryshim të gjendjes së njoftimit të mëparshëm. </w:t>
      </w:r>
      <w:r w:rsidRPr="00000F0F">
        <w:rPr>
          <w:b/>
        </w:rPr>
        <w:t>Numri i subjekteve kontrolluese të regjistruara në Regjistrin i Subjekteve Kontrolluese në total është 5875.</w:t>
      </w:r>
    </w:p>
    <w:p w:rsidR="00AE7FED" w:rsidRPr="00000F0F" w:rsidRDefault="00AE7FED" w:rsidP="00000F0F">
      <w:pPr>
        <w:shd w:val="clear" w:color="auto" w:fill="FFFFFF"/>
        <w:spacing w:line="276" w:lineRule="auto"/>
        <w:jc w:val="both"/>
        <w:textAlignment w:val="baseline"/>
        <w:rPr>
          <w:b/>
        </w:rPr>
      </w:pPr>
    </w:p>
    <w:p w:rsidR="00AE7FED" w:rsidRPr="00000F0F" w:rsidRDefault="00AE7FED" w:rsidP="00000F0F">
      <w:pPr>
        <w:spacing w:line="276" w:lineRule="auto"/>
        <w:contextualSpacing/>
        <w:jc w:val="both"/>
        <w:rPr>
          <w:rFonts w:eastAsia="Batang"/>
          <w:color w:val="0D0D0D" w:themeColor="text1" w:themeTint="F2"/>
          <w:lang w:eastAsia="ko-KR"/>
        </w:rPr>
      </w:pPr>
      <w:r w:rsidRPr="00000F0F">
        <w:rPr>
          <w:b/>
          <w:color w:val="0D0D0D" w:themeColor="text1" w:themeTint="F2"/>
        </w:rPr>
        <w:t>Nënprodukti</w:t>
      </w:r>
      <w:r w:rsidRPr="00000F0F">
        <w:rPr>
          <w:b/>
        </w:rPr>
        <w:t xml:space="preserve"> C: (Inspektime mbi bazë ankese dhe kryesisht +- </w:t>
      </w:r>
      <w:r w:rsidR="002A3C97" w:rsidRPr="00000F0F">
        <w:rPr>
          <w:b/>
        </w:rPr>
        <w:t>30</w:t>
      </w:r>
      <w:r w:rsidRPr="00000F0F">
        <w:rPr>
          <w:b/>
        </w:rPr>
        <w:t xml:space="preserve">), i ndryshuar,  </w:t>
      </w:r>
      <w:r w:rsidRPr="00000F0F">
        <w:t xml:space="preserve">pa përfshirë veprime të tjera vendime, rekomandime, sanksione, urdhërime është realizuar nga ana sasiore </w:t>
      </w:r>
      <w:r w:rsidR="009B0295" w:rsidRPr="00000F0F">
        <w:rPr>
          <w:b/>
        </w:rPr>
        <w:t xml:space="preserve">48 </w:t>
      </w:r>
      <w:r w:rsidRPr="00000F0F">
        <w:rPr>
          <w:b/>
        </w:rPr>
        <w:t>mbikqyrje</w:t>
      </w:r>
      <w:r w:rsidRPr="00000F0F">
        <w:t xml:space="preserve"> </w:t>
      </w:r>
      <w:r w:rsidR="002A3C97" w:rsidRPr="00000F0F">
        <w:t>duke tejkaluar tërësisht atë të planifikuar</w:t>
      </w:r>
    </w:p>
    <w:p w:rsidR="00AE7FED" w:rsidRPr="00000F0F" w:rsidRDefault="00AE7FED" w:rsidP="00000F0F">
      <w:pPr>
        <w:spacing w:line="276" w:lineRule="auto"/>
        <w:jc w:val="both"/>
      </w:pPr>
    </w:p>
    <w:p w:rsidR="00AE7FED" w:rsidRPr="00000F0F" w:rsidRDefault="00AE7FED" w:rsidP="00000F0F">
      <w:pPr>
        <w:spacing w:line="276" w:lineRule="auto"/>
        <w:jc w:val="both"/>
        <w:rPr>
          <w:b/>
          <w:color w:val="0D0D0D" w:themeColor="text1" w:themeTint="F2"/>
        </w:rPr>
      </w:pPr>
      <w:r w:rsidRPr="00000F0F">
        <w:rPr>
          <w:b/>
          <w:color w:val="0D0D0D" w:themeColor="text1" w:themeTint="F2"/>
        </w:rPr>
        <w:t xml:space="preserve">-Nënprodukti D. Ankesa të trajtuara ( nr.rreth +- 250), i ndryshuar </w:t>
      </w:r>
    </w:p>
    <w:p w:rsidR="009B0295" w:rsidRPr="00000F0F" w:rsidRDefault="00AE7FED" w:rsidP="00000F0F">
      <w:pPr>
        <w:spacing w:line="276" w:lineRule="auto"/>
        <w:jc w:val="both"/>
      </w:pPr>
      <w:r w:rsidRPr="00000F0F">
        <w:rPr>
          <w:rFonts w:eastAsia="Calibri"/>
        </w:rPr>
        <w:lastRenderedPageBreak/>
        <w:t xml:space="preserve">Trajtimin me efikasitet në një kohë sa më të shkurtër dhe transparent të ankesave të shtetasve dhe subjekteve të ndryshme. </w:t>
      </w:r>
      <w:r w:rsidR="00DC21EF" w:rsidRPr="00000F0F">
        <w:rPr>
          <w:rFonts w:eastAsia="Calibri"/>
        </w:rPr>
        <w:t xml:space="preserve">Janë trajtuar </w:t>
      </w:r>
      <w:r w:rsidR="009B0295" w:rsidRPr="00000F0F">
        <w:rPr>
          <w:rFonts w:eastAsia="Calibri"/>
          <w:b/>
        </w:rPr>
        <w:t xml:space="preserve">370 </w:t>
      </w:r>
      <w:r w:rsidR="00DC21EF" w:rsidRPr="00000F0F">
        <w:rPr>
          <w:rFonts w:eastAsia="Calibri"/>
          <w:b/>
        </w:rPr>
        <w:t xml:space="preserve"> ankesa </w:t>
      </w:r>
      <w:r w:rsidR="00DC21EF" w:rsidRPr="00000F0F">
        <w:rPr>
          <w:bCs/>
        </w:rPr>
        <w:t>nga subjektet e të dhënave personale</w:t>
      </w:r>
      <w:r w:rsidR="00DC21EF" w:rsidRPr="00000F0F">
        <w:rPr>
          <w:i/>
        </w:rPr>
        <w:t xml:space="preserve"> </w:t>
      </w:r>
      <w:r w:rsidR="00DC21EF" w:rsidRPr="00000F0F">
        <w:t xml:space="preserve">në kuadër të ligjshmërisë së përpunimit të të dhënave personale, ku krahasuar me </w:t>
      </w:r>
      <w:r w:rsidR="009B0295" w:rsidRPr="00000F0F">
        <w:t>parashikimin ka tejkaluar çdo pritshmëri. Ushtrimi në rritje i kësaj të drejte është rezultat si i ndërgjegjësimit të qytetarëve, por edhe i mosnjohjes sa dhe si duhet, apo moszbatimit të kuadrit ligjor nga kontrolluesit/përpunuesit. Tendenca në rritje e numrit të ankesave gjatë viteve të fundit, është tregues për rëndësinë që po i kushtojnë individët kontrollit dhe mbrojtjes së të dhënave të tyre personale.</w:t>
      </w:r>
    </w:p>
    <w:p w:rsidR="00AE7FED" w:rsidRPr="00000F0F" w:rsidRDefault="00AE7FED" w:rsidP="00000F0F">
      <w:pPr>
        <w:spacing w:before="240" w:line="276" w:lineRule="auto"/>
        <w:jc w:val="both"/>
        <w:rPr>
          <w:rFonts w:eastAsia="Calibri"/>
        </w:rPr>
      </w:pPr>
      <w:r w:rsidRPr="00000F0F">
        <w:rPr>
          <w:b/>
          <w:color w:val="0D0D0D" w:themeColor="text1" w:themeTint="F2"/>
        </w:rPr>
        <w:t xml:space="preserve">Nënprodukti D: Ankesa të trajtuara, </w:t>
      </w:r>
      <w:r w:rsidRPr="00000F0F">
        <w:rPr>
          <w:color w:val="0D0D0D" w:themeColor="text1" w:themeTint="F2"/>
        </w:rPr>
        <w:t xml:space="preserve">pa përfshirë vendime, rekomandime është realizuar nga ana sasiore </w:t>
      </w:r>
      <w:r w:rsidR="009B0295" w:rsidRPr="00000F0F">
        <w:rPr>
          <w:b/>
          <w:color w:val="0D0D0D" w:themeColor="text1" w:themeTint="F2"/>
        </w:rPr>
        <w:t>370</w:t>
      </w:r>
      <w:r w:rsidRPr="00000F0F">
        <w:rPr>
          <w:b/>
          <w:color w:val="0D0D0D" w:themeColor="text1" w:themeTint="F2"/>
        </w:rPr>
        <w:t xml:space="preserve"> ankesa</w:t>
      </w:r>
      <w:r w:rsidRPr="00000F0F">
        <w:rPr>
          <w:color w:val="0D0D0D" w:themeColor="text1" w:themeTint="F2"/>
        </w:rPr>
        <w:t xml:space="preserve">, ku </w:t>
      </w:r>
      <w:r w:rsidR="002A3C97" w:rsidRPr="00000F0F">
        <w:rPr>
          <w:color w:val="0D0D0D" w:themeColor="text1" w:themeTint="F2"/>
        </w:rPr>
        <w:t xml:space="preserve">trendin rritës </w:t>
      </w:r>
      <w:r w:rsidRPr="00000F0F">
        <w:rPr>
          <w:color w:val="0D0D0D" w:themeColor="text1" w:themeTint="F2"/>
        </w:rPr>
        <w:t xml:space="preserve"> </w:t>
      </w:r>
      <w:r w:rsidR="002A3C97" w:rsidRPr="00000F0F">
        <w:rPr>
          <w:color w:val="0D0D0D" w:themeColor="text1" w:themeTint="F2"/>
        </w:rPr>
        <w:t>ka tejkaluar çdo parashikim</w:t>
      </w:r>
      <w:r w:rsidRPr="00000F0F">
        <w:rPr>
          <w:color w:val="0D0D0D" w:themeColor="text1" w:themeTint="F2"/>
        </w:rPr>
        <w:t xml:space="preserve"> </w:t>
      </w:r>
    </w:p>
    <w:p w:rsidR="00AE7FED" w:rsidRPr="00000F0F" w:rsidRDefault="00AE7FED" w:rsidP="00000F0F">
      <w:pPr>
        <w:spacing w:line="276" w:lineRule="auto"/>
        <w:jc w:val="both"/>
        <w:rPr>
          <w:color w:val="0D0D0D" w:themeColor="text1" w:themeTint="F2"/>
        </w:rPr>
      </w:pPr>
    </w:p>
    <w:p w:rsidR="00AE7FED" w:rsidRPr="00000F0F" w:rsidRDefault="00AE7FED" w:rsidP="00000F0F">
      <w:pPr>
        <w:numPr>
          <w:ilvl w:val="0"/>
          <w:numId w:val="1"/>
        </w:numPr>
        <w:spacing w:line="276" w:lineRule="auto"/>
        <w:jc w:val="both"/>
        <w:rPr>
          <w:b/>
        </w:rPr>
      </w:pPr>
      <w:r w:rsidRPr="00000F0F">
        <w:rPr>
          <w:b/>
        </w:rPr>
        <w:t xml:space="preserve">Aktivitetet të tjera mbështetëse. </w:t>
      </w:r>
    </w:p>
    <w:p w:rsidR="00AE7FED" w:rsidRPr="00000F0F" w:rsidRDefault="00AE7FED" w:rsidP="00000F0F">
      <w:pPr>
        <w:spacing w:line="276" w:lineRule="auto"/>
        <w:ind w:left="720"/>
        <w:jc w:val="both"/>
        <w:rPr>
          <w:b/>
        </w:rPr>
      </w:pPr>
    </w:p>
    <w:p w:rsidR="00AE7FED" w:rsidRPr="00000F0F" w:rsidRDefault="00AE7FED" w:rsidP="00000F0F">
      <w:pPr>
        <w:pStyle w:val="NormalWeb"/>
        <w:shd w:val="clear" w:color="auto" w:fill="FFFFFF"/>
        <w:spacing w:before="0" w:beforeAutospacing="0" w:after="0" w:afterAutospacing="0" w:line="276" w:lineRule="auto"/>
        <w:jc w:val="both"/>
        <w:textAlignment w:val="baseline"/>
        <w:rPr>
          <w:b/>
        </w:rPr>
      </w:pPr>
      <w:r w:rsidRPr="00000F0F">
        <w:t xml:space="preserve">Si </w:t>
      </w:r>
      <w:proofErr w:type="spellStart"/>
      <w:r w:rsidRPr="00000F0F">
        <w:t>pjesë</w:t>
      </w:r>
      <w:proofErr w:type="spellEnd"/>
      <w:r w:rsidRPr="00000F0F">
        <w:t xml:space="preserve"> e </w:t>
      </w:r>
      <w:proofErr w:type="spellStart"/>
      <w:r w:rsidRPr="00000F0F">
        <w:t>iniciati</w:t>
      </w:r>
      <w:r w:rsidR="004A7BBA" w:rsidRPr="00000F0F">
        <w:t>vave</w:t>
      </w:r>
      <w:proofErr w:type="spellEnd"/>
      <w:r w:rsidR="004A7BBA" w:rsidRPr="00000F0F">
        <w:t xml:space="preserve"> </w:t>
      </w:r>
      <w:proofErr w:type="spellStart"/>
      <w:r w:rsidR="004A7BBA" w:rsidRPr="00000F0F">
        <w:t>të</w:t>
      </w:r>
      <w:proofErr w:type="spellEnd"/>
      <w:r w:rsidR="004A7BBA" w:rsidRPr="00000F0F">
        <w:t xml:space="preserve"> </w:t>
      </w:r>
      <w:proofErr w:type="spellStart"/>
      <w:r w:rsidR="004A7BBA" w:rsidRPr="00000F0F">
        <w:t>Zyrës</w:t>
      </w:r>
      <w:proofErr w:type="spellEnd"/>
      <w:r w:rsidR="004A7BBA" w:rsidRPr="00000F0F">
        <w:t xml:space="preserve"> </w:t>
      </w:r>
      <w:proofErr w:type="spellStart"/>
      <w:r w:rsidR="004A7BBA" w:rsidRPr="00000F0F">
        <w:t>së</w:t>
      </w:r>
      <w:proofErr w:type="spellEnd"/>
      <w:r w:rsidR="004A7BBA" w:rsidRPr="00000F0F">
        <w:t xml:space="preserve"> </w:t>
      </w:r>
      <w:proofErr w:type="spellStart"/>
      <w:r w:rsidR="004A7BBA" w:rsidRPr="00000F0F">
        <w:t>Komisionerit</w:t>
      </w:r>
      <w:proofErr w:type="spellEnd"/>
      <w:r w:rsidR="004A7BBA" w:rsidRPr="00000F0F">
        <w:t xml:space="preserve">, </w:t>
      </w:r>
      <w:proofErr w:type="spellStart"/>
      <w:r w:rsidRPr="00000F0F">
        <w:t>në</w:t>
      </w:r>
      <w:proofErr w:type="spellEnd"/>
      <w:r w:rsidRPr="00000F0F">
        <w:t xml:space="preserve"> </w:t>
      </w:r>
      <w:proofErr w:type="spellStart"/>
      <w:r w:rsidRPr="00000F0F">
        <w:t>kuadër</w:t>
      </w:r>
      <w:proofErr w:type="spellEnd"/>
      <w:r w:rsidRPr="00000F0F">
        <w:t xml:space="preserve"> </w:t>
      </w:r>
      <w:proofErr w:type="spellStart"/>
      <w:r w:rsidRPr="00000F0F">
        <w:t>të</w:t>
      </w:r>
      <w:proofErr w:type="spellEnd"/>
      <w:r w:rsidRPr="00000F0F">
        <w:t xml:space="preserve"> 28 </w:t>
      </w:r>
      <w:proofErr w:type="spellStart"/>
      <w:r w:rsidRPr="00000F0F">
        <w:t>Janarit</w:t>
      </w:r>
      <w:proofErr w:type="spellEnd"/>
      <w:r w:rsidRPr="00000F0F">
        <w:t xml:space="preserve">, </w:t>
      </w:r>
      <w:proofErr w:type="spellStart"/>
      <w:r w:rsidRPr="00000F0F">
        <w:t>Ditës</w:t>
      </w:r>
      <w:proofErr w:type="spellEnd"/>
      <w:r w:rsidRPr="00000F0F">
        <w:t xml:space="preserve"> </w:t>
      </w:r>
      <w:proofErr w:type="spellStart"/>
      <w:r w:rsidRPr="00000F0F">
        <w:t>Ndërkombëtare</w:t>
      </w:r>
      <w:proofErr w:type="spellEnd"/>
      <w:r w:rsidRPr="00000F0F">
        <w:t xml:space="preserve"> </w:t>
      </w:r>
      <w:proofErr w:type="spellStart"/>
      <w:r w:rsidRPr="00000F0F">
        <w:t>të</w:t>
      </w:r>
      <w:proofErr w:type="spellEnd"/>
      <w:r w:rsidRPr="00000F0F">
        <w:t xml:space="preserve"> </w:t>
      </w:r>
      <w:proofErr w:type="spellStart"/>
      <w:r w:rsidRPr="00000F0F">
        <w:t>Mbrojtjes</w:t>
      </w:r>
      <w:proofErr w:type="spellEnd"/>
      <w:r w:rsidRPr="00000F0F">
        <w:t xml:space="preserve"> </w:t>
      </w:r>
      <w:proofErr w:type="spellStart"/>
      <w:r w:rsidRPr="00000F0F">
        <w:t>së</w:t>
      </w:r>
      <w:proofErr w:type="spellEnd"/>
      <w:r w:rsidRPr="00000F0F">
        <w:t xml:space="preserve"> </w:t>
      </w:r>
      <w:proofErr w:type="spellStart"/>
      <w:r w:rsidRPr="00000F0F">
        <w:t>të</w:t>
      </w:r>
      <w:proofErr w:type="spellEnd"/>
      <w:r w:rsidRPr="00000F0F">
        <w:t xml:space="preserve"> </w:t>
      </w:r>
      <w:proofErr w:type="spellStart"/>
      <w:r w:rsidRPr="00000F0F">
        <w:t>Dhëna</w:t>
      </w:r>
      <w:r w:rsidR="004A7BBA" w:rsidRPr="00000F0F">
        <w:t>ve</w:t>
      </w:r>
      <w:proofErr w:type="spellEnd"/>
      <w:r w:rsidR="004A7BBA" w:rsidRPr="00000F0F">
        <w:t xml:space="preserve"> </w:t>
      </w:r>
      <w:proofErr w:type="spellStart"/>
      <w:r w:rsidR="004A7BBA" w:rsidRPr="00000F0F">
        <w:t>Personale</w:t>
      </w:r>
      <w:proofErr w:type="spellEnd"/>
      <w:r w:rsidR="004A7BBA" w:rsidRPr="00000F0F">
        <w:t xml:space="preserve">, </w:t>
      </w:r>
      <w:proofErr w:type="spellStart"/>
      <w:r w:rsidR="004A7BBA" w:rsidRPr="00000F0F">
        <w:t>është</w:t>
      </w:r>
      <w:proofErr w:type="spellEnd"/>
      <w:r w:rsidR="004A7BBA" w:rsidRPr="00000F0F">
        <w:t xml:space="preserve"> </w:t>
      </w:r>
      <w:proofErr w:type="spellStart"/>
      <w:r w:rsidR="004A7BBA" w:rsidRPr="00000F0F">
        <w:t>organizuar</w:t>
      </w:r>
      <w:proofErr w:type="spellEnd"/>
      <w:r w:rsidR="004A7BBA" w:rsidRPr="00000F0F">
        <w:t xml:space="preserve"> </w:t>
      </w:r>
      <w:proofErr w:type="spellStart"/>
      <w:r w:rsidR="004A7BBA" w:rsidRPr="00000F0F">
        <w:t>një</w:t>
      </w:r>
      <w:proofErr w:type="spellEnd"/>
      <w:r w:rsidR="004A7BBA" w:rsidRPr="00000F0F">
        <w:t xml:space="preserve"> </w:t>
      </w:r>
      <w:proofErr w:type="spellStart"/>
      <w:r w:rsidRPr="00000F0F">
        <w:t>takim</w:t>
      </w:r>
      <w:proofErr w:type="spellEnd"/>
      <w:r w:rsidRPr="00000F0F">
        <w:t xml:space="preserve"> me </w:t>
      </w:r>
      <w:proofErr w:type="spellStart"/>
      <w:r w:rsidRPr="00000F0F">
        <w:t>mbi</w:t>
      </w:r>
      <w:proofErr w:type="spellEnd"/>
      <w:r w:rsidRPr="00000F0F">
        <w:t xml:space="preserve"> 100 </w:t>
      </w:r>
      <w:proofErr w:type="spellStart"/>
      <w:r w:rsidRPr="00000F0F">
        <w:t>përfaqësues</w:t>
      </w:r>
      <w:proofErr w:type="spellEnd"/>
      <w:r w:rsidRPr="00000F0F">
        <w:t xml:space="preserve"> </w:t>
      </w:r>
      <w:proofErr w:type="spellStart"/>
      <w:r w:rsidRPr="00000F0F">
        <w:t>dhe</w:t>
      </w:r>
      <w:proofErr w:type="spellEnd"/>
      <w:r w:rsidRPr="00000F0F">
        <w:t xml:space="preserve"> </w:t>
      </w:r>
      <w:proofErr w:type="spellStart"/>
      <w:r w:rsidRPr="00000F0F">
        <w:t>nëpunës</w:t>
      </w:r>
      <w:proofErr w:type="spellEnd"/>
      <w:r w:rsidRPr="00000F0F">
        <w:t xml:space="preserve"> </w:t>
      </w:r>
      <w:proofErr w:type="spellStart"/>
      <w:r w:rsidRPr="00000F0F">
        <w:t>të</w:t>
      </w:r>
      <w:proofErr w:type="spellEnd"/>
      <w:r w:rsidRPr="00000F0F">
        <w:t xml:space="preserve"> </w:t>
      </w:r>
      <w:proofErr w:type="spellStart"/>
      <w:r w:rsidRPr="00000F0F">
        <w:t>mbrojtjes</w:t>
      </w:r>
      <w:proofErr w:type="spellEnd"/>
      <w:r w:rsidRPr="00000F0F">
        <w:t xml:space="preserve"> </w:t>
      </w:r>
      <w:proofErr w:type="spellStart"/>
      <w:r w:rsidRPr="00000F0F">
        <w:t>së</w:t>
      </w:r>
      <w:proofErr w:type="spellEnd"/>
      <w:r w:rsidRPr="00000F0F">
        <w:t xml:space="preserve"> </w:t>
      </w:r>
      <w:proofErr w:type="spellStart"/>
      <w:r w:rsidRPr="00000F0F">
        <w:t>të</w:t>
      </w:r>
      <w:proofErr w:type="spellEnd"/>
      <w:r w:rsidRPr="00000F0F">
        <w:t xml:space="preserve"> </w:t>
      </w:r>
      <w:proofErr w:type="spellStart"/>
      <w:r w:rsidRPr="00000F0F">
        <w:t>dhënave</w:t>
      </w:r>
      <w:proofErr w:type="spellEnd"/>
      <w:r w:rsidRPr="00000F0F">
        <w:t xml:space="preserve"> </w:t>
      </w:r>
      <w:proofErr w:type="spellStart"/>
      <w:r w:rsidRPr="00000F0F">
        <w:t>personale</w:t>
      </w:r>
      <w:proofErr w:type="spellEnd"/>
      <w:r w:rsidRPr="00000F0F">
        <w:t xml:space="preserve"> </w:t>
      </w:r>
      <w:proofErr w:type="spellStart"/>
      <w:r w:rsidRPr="00000F0F">
        <w:t>nga</w:t>
      </w:r>
      <w:proofErr w:type="spellEnd"/>
      <w:r w:rsidRPr="00000F0F">
        <w:t xml:space="preserve"> </w:t>
      </w:r>
      <w:proofErr w:type="spellStart"/>
      <w:r w:rsidRPr="00000F0F">
        <w:t>institucione</w:t>
      </w:r>
      <w:proofErr w:type="spellEnd"/>
      <w:r w:rsidRPr="00000F0F">
        <w:t xml:space="preserve"> </w:t>
      </w:r>
      <w:proofErr w:type="spellStart"/>
      <w:r w:rsidRPr="00000F0F">
        <w:t>qendrore</w:t>
      </w:r>
      <w:proofErr w:type="spellEnd"/>
      <w:r w:rsidRPr="00000F0F">
        <w:t xml:space="preserve">, </w:t>
      </w:r>
      <w:proofErr w:type="spellStart"/>
      <w:r w:rsidRPr="00000F0F">
        <w:t>të</w:t>
      </w:r>
      <w:proofErr w:type="spellEnd"/>
      <w:r w:rsidRPr="00000F0F">
        <w:t xml:space="preserve"> </w:t>
      </w:r>
      <w:proofErr w:type="spellStart"/>
      <w:r w:rsidRPr="00000F0F">
        <w:t>pavarura</w:t>
      </w:r>
      <w:proofErr w:type="spellEnd"/>
      <w:r w:rsidRPr="00000F0F">
        <w:t xml:space="preserve"> </w:t>
      </w:r>
      <w:proofErr w:type="spellStart"/>
      <w:r w:rsidRPr="00000F0F">
        <w:t>dhe</w:t>
      </w:r>
      <w:proofErr w:type="spellEnd"/>
      <w:r w:rsidRPr="00000F0F">
        <w:t xml:space="preserve"> </w:t>
      </w:r>
      <w:proofErr w:type="spellStart"/>
      <w:r w:rsidRPr="00000F0F">
        <w:t>të</w:t>
      </w:r>
      <w:proofErr w:type="spellEnd"/>
      <w:r w:rsidRPr="00000F0F">
        <w:t xml:space="preserve"> </w:t>
      </w:r>
      <w:proofErr w:type="spellStart"/>
      <w:r w:rsidRPr="00000F0F">
        <w:t>vetëqeverisjes</w:t>
      </w:r>
      <w:proofErr w:type="spellEnd"/>
      <w:r w:rsidRPr="00000F0F">
        <w:t xml:space="preserve"> </w:t>
      </w:r>
      <w:proofErr w:type="spellStart"/>
      <w:r w:rsidRPr="00000F0F">
        <w:t>vendore</w:t>
      </w:r>
      <w:proofErr w:type="spellEnd"/>
      <w:r w:rsidRPr="00000F0F">
        <w:t xml:space="preserve">, me </w:t>
      </w:r>
      <w:proofErr w:type="spellStart"/>
      <w:r w:rsidRPr="00000F0F">
        <w:t>temë</w:t>
      </w:r>
      <w:proofErr w:type="spellEnd"/>
      <w:r w:rsidRPr="00000F0F">
        <w:t xml:space="preserve"> “</w:t>
      </w:r>
      <w:proofErr w:type="spellStart"/>
      <w:r w:rsidRPr="00000F0F">
        <w:rPr>
          <w:rStyle w:val="Emphasis"/>
          <w:b/>
          <w:bdr w:val="none" w:sz="0" w:space="0" w:color="auto" w:frame="1"/>
        </w:rPr>
        <w:t>Prezantimin</w:t>
      </w:r>
      <w:proofErr w:type="spellEnd"/>
      <w:r w:rsidRPr="00000F0F">
        <w:rPr>
          <w:rStyle w:val="Emphasis"/>
          <w:b/>
          <w:bdr w:val="none" w:sz="0" w:space="0" w:color="auto" w:frame="1"/>
        </w:rPr>
        <w:t xml:space="preserve"> e </w:t>
      </w:r>
      <w:proofErr w:type="spellStart"/>
      <w:r w:rsidRPr="00000F0F">
        <w:rPr>
          <w:rStyle w:val="Emphasis"/>
          <w:b/>
          <w:bdr w:val="none" w:sz="0" w:space="0" w:color="auto" w:frame="1"/>
        </w:rPr>
        <w:t>rezultateve</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të</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Pyetësorit</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për</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vlerësimin</w:t>
      </w:r>
      <w:proofErr w:type="spellEnd"/>
      <w:r w:rsidRPr="00000F0F">
        <w:rPr>
          <w:rStyle w:val="Emphasis"/>
          <w:b/>
          <w:bdr w:val="none" w:sz="0" w:space="0" w:color="auto" w:frame="1"/>
        </w:rPr>
        <w:t xml:space="preserve"> e </w:t>
      </w:r>
      <w:proofErr w:type="spellStart"/>
      <w:r w:rsidRPr="00000F0F">
        <w:rPr>
          <w:rStyle w:val="Emphasis"/>
          <w:b/>
          <w:bdr w:val="none" w:sz="0" w:space="0" w:color="auto" w:frame="1"/>
        </w:rPr>
        <w:t>njohurive</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të</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autoriteteve</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publike</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në</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lidhje</w:t>
      </w:r>
      <w:proofErr w:type="spellEnd"/>
      <w:r w:rsidRPr="00000F0F">
        <w:rPr>
          <w:rStyle w:val="Emphasis"/>
          <w:b/>
          <w:bdr w:val="none" w:sz="0" w:space="0" w:color="auto" w:frame="1"/>
        </w:rPr>
        <w:t xml:space="preserve"> me </w:t>
      </w:r>
      <w:proofErr w:type="spellStart"/>
      <w:r w:rsidRPr="00000F0F">
        <w:rPr>
          <w:rStyle w:val="Emphasis"/>
          <w:b/>
          <w:bdr w:val="none" w:sz="0" w:space="0" w:color="auto" w:frame="1"/>
        </w:rPr>
        <w:t>të</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drejtën</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për</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mbrojtjen</w:t>
      </w:r>
      <w:proofErr w:type="spellEnd"/>
      <w:r w:rsidRPr="00000F0F">
        <w:rPr>
          <w:rStyle w:val="Emphasis"/>
          <w:b/>
          <w:bdr w:val="none" w:sz="0" w:space="0" w:color="auto" w:frame="1"/>
        </w:rPr>
        <w:t xml:space="preserve"> e </w:t>
      </w:r>
      <w:proofErr w:type="spellStart"/>
      <w:r w:rsidRPr="00000F0F">
        <w:rPr>
          <w:rStyle w:val="Emphasis"/>
          <w:b/>
          <w:bdr w:val="none" w:sz="0" w:space="0" w:color="auto" w:frame="1"/>
        </w:rPr>
        <w:t>të</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dhënave</w:t>
      </w:r>
      <w:proofErr w:type="spellEnd"/>
      <w:r w:rsidRPr="00000F0F">
        <w:rPr>
          <w:rStyle w:val="Emphasis"/>
          <w:b/>
          <w:bdr w:val="none" w:sz="0" w:space="0" w:color="auto" w:frame="1"/>
        </w:rPr>
        <w:t xml:space="preserve"> </w:t>
      </w:r>
      <w:proofErr w:type="spellStart"/>
      <w:r w:rsidRPr="00000F0F">
        <w:rPr>
          <w:rStyle w:val="Emphasis"/>
          <w:b/>
          <w:bdr w:val="none" w:sz="0" w:space="0" w:color="auto" w:frame="1"/>
        </w:rPr>
        <w:t>personale</w:t>
      </w:r>
      <w:proofErr w:type="spellEnd"/>
      <w:r w:rsidRPr="00000F0F">
        <w:rPr>
          <w:b/>
        </w:rPr>
        <w:t>”.</w:t>
      </w:r>
    </w:p>
    <w:p w:rsidR="00AE7FED" w:rsidRPr="00000F0F" w:rsidRDefault="00AE7FED" w:rsidP="00000F0F">
      <w:pPr>
        <w:pStyle w:val="NormalWeb"/>
        <w:shd w:val="clear" w:color="auto" w:fill="FFFFFF"/>
        <w:spacing w:before="0" w:beforeAutospacing="0" w:after="0" w:afterAutospacing="0" w:line="276" w:lineRule="auto"/>
        <w:jc w:val="both"/>
        <w:textAlignment w:val="baseline"/>
      </w:pPr>
      <w:proofErr w:type="spellStart"/>
      <w:r w:rsidRPr="00000F0F">
        <w:t>Nëpërmjet</w:t>
      </w:r>
      <w:proofErr w:type="spellEnd"/>
      <w:r w:rsidRPr="00000F0F">
        <w:t xml:space="preserve"> </w:t>
      </w:r>
      <w:proofErr w:type="spellStart"/>
      <w:r w:rsidRPr="00000F0F">
        <w:t>rezultateve</w:t>
      </w:r>
      <w:proofErr w:type="spellEnd"/>
      <w:r w:rsidRPr="00000F0F">
        <w:t xml:space="preserve"> </w:t>
      </w:r>
      <w:proofErr w:type="spellStart"/>
      <w:r w:rsidRPr="00000F0F">
        <w:t>të</w:t>
      </w:r>
      <w:proofErr w:type="spellEnd"/>
      <w:r w:rsidRPr="00000F0F">
        <w:t xml:space="preserve"> </w:t>
      </w:r>
      <w:proofErr w:type="spellStart"/>
      <w:r w:rsidRPr="00000F0F">
        <w:t>tij</w:t>
      </w:r>
      <w:proofErr w:type="spellEnd"/>
      <w:r w:rsidRPr="00000F0F">
        <w:t xml:space="preserve">, </w:t>
      </w:r>
      <w:proofErr w:type="spellStart"/>
      <w:r w:rsidRPr="00000F0F">
        <w:t>institucionit</w:t>
      </w:r>
      <w:proofErr w:type="spellEnd"/>
      <w:r w:rsidRPr="00000F0F">
        <w:t xml:space="preserve"> </w:t>
      </w:r>
      <w:proofErr w:type="spellStart"/>
      <w:r w:rsidRPr="00000F0F">
        <w:t>i</w:t>
      </w:r>
      <w:proofErr w:type="spellEnd"/>
      <w:r w:rsidRPr="00000F0F">
        <w:t xml:space="preserve"> </w:t>
      </w:r>
      <w:proofErr w:type="spellStart"/>
      <w:r w:rsidRPr="00000F0F">
        <w:t>është</w:t>
      </w:r>
      <w:proofErr w:type="spellEnd"/>
      <w:r w:rsidRPr="00000F0F">
        <w:t xml:space="preserve"> </w:t>
      </w:r>
      <w:proofErr w:type="spellStart"/>
      <w:r w:rsidRPr="00000F0F">
        <w:t>mundësuar</w:t>
      </w:r>
      <w:proofErr w:type="spellEnd"/>
      <w:r w:rsidRPr="00000F0F">
        <w:t xml:space="preserve"> </w:t>
      </w:r>
      <w:proofErr w:type="spellStart"/>
      <w:r w:rsidRPr="00000F0F">
        <w:t>një</w:t>
      </w:r>
      <w:proofErr w:type="spellEnd"/>
      <w:r w:rsidRPr="00000F0F">
        <w:t xml:space="preserve"> </w:t>
      </w:r>
      <w:proofErr w:type="spellStart"/>
      <w:r w:rsidRPr="00000F0F">
        <w:t>panoramë</w:t>
      </w:r>
      <w:proofErr w:type="spellEnd"/>
      <w:r w:rsidRPr="00000F0F">
        <w:t xml:space="preserve"> e </w:t>
      </w:r>
      <w:proofErr w:type="spellStart"/>
      <w:r w:rsidRPr="00000F0F">
        <w:t>gjerë</w:t>
      </w:r>
      <w:proofErr w:type="spellEnd"/>
      <w:r w:rsidRPr="00000F0F">
        <w:t xml:space="preserve"> </w:t>
      </w:r>
      <w:proofErr w:type="spellStart"/>
      <w:r w:rsidRPr="00000F0F">
        <w:t>për</w:t>
      </w:r>
      <w:proofErr w:type="spellEnd"/>
      <w:r w:rsidRPr="00000F0F">
        <w:t xml:space="preserve"> </w:t>
      </w:r>
      <w:proofErr w:type="spellStart"/>
      <w:r w:rsidRPr="00000F0F">
        <w:t>nivelin</w:t>
      </w:r>
      <w:proofErr w:type="spellEnd"/>
      <w:r w:rsidRPr="00000F0F">
        <w:t xml:space="preserve"> e </w:t>
      </w:r>
      <w:proofErr w:type="spellStart"/>
      <w:r w:rsidRPr="00000F0F">
        <w:t>njohurive</w:t>
      </w:r>
      <w:proofErr w:type="spellEnd"/>
      <w:r w:rsidRPr="00000F0F">
        <w:t xml:space="preserve"> </w:t>
      </w:r>
      <w:proofErr w:type="spellStart"/>
      <w:r w:rsidRPr="00000F0F">
        <w:t>të</w:t>
      </w:r>
      <w:proofErr w:type="spellEnd"/>
      <w:r w:rsidRPr="00000F0F">
        <w:t xml:space="preserve"> </w:t>
      </w:r>
      <w:proofErr w:type="spellStart"/>
      <w:r w:rsidRPr="00000F0F">
        <w:t>administratës</w:t>
      </w:r>
      <w:proofErr w:type="spellEnd"/>
      <w:r w:rsidRPr="00000F0F">
        <w:t xml:space="preserve"> </w:t>
      </w:r>
      <w:proofErr w:type="spellStart"/>
      <w:r w:rsidRPr="00000F0F">
        <w:t>në</w:t>
      </w:r>
      <w:proofErr w:type="spellEnd"/>
      <w:r w:rsidRPr="00000F0F">
        <w:t xml:space="preserve"> </w:t>
      </w:r>
      <w:proofErr w:type="spellStart"/>
      <w:r w:rsidRPr="00000F0F">
        <w:t>lidhje</w:t>
      </w:r>
      <w:proofErr w:type="spellEnd"/>
      <w:r w:rsidRPr="00000F0F">
        <w:t xml:space="preserve"> me </w:t>
      </w:r>
      <w:proofErr w:type="spellStart"/>
      <w:r w:rsidRPr="00000F0F">
        <w:t>garantimin</w:t>
      </w:r>
      <w:proofErr w:type="spellEnd"/>
      <w:r w:rsidRPr="00000F0F">
        <w:t xml:space="preserve"> e </w:t>
      </w:r>
      <w:proofErr w:type="spellStart"/>
      <w:r w:rsidRPr="00000F0F">
        <w:t>të</w:t>
      </w:r>
      <w:proofErr w:type="spellEnd"/>
      <w:r w:rsidRPr="00000F0F">
        <w:t xml:space="preserve"> </w:t>
      </w:r>
      <w:proofErr w:type="spellStart"/>
      <w:r w:rsidRPr="00000F0F">
        <w:t>drejtës</w:t>
      </w:r>
      <w:proofErr w:type="spellEnd"/>
      <w:r w:rsidRPr="00000F0F">
        <w:t xml:space="preserve"> </w:t>
      </w:r>
      <w:proofErr w:type="spellStart"/>
      <w:r w:rsidRPr="00000F0F">
        <w:t>kushtetuese</w:t>
      </w:r>
      <w:proofErr w:type="spellEnd"/>
      <w:r w:rsidRPr="00000F0F">
        <w:t xml:space="preserve"> </w:t>
      </w:r>
      <w:proofErr w:type="spellStart"/>
      <w:r w:rsidRPr="00000F0F">
        <w:t>për</w:t>
      </w:r>
      <w:proofErr w:type="spellEnd"/>
      <w:r w:rsidRPr="00000F0F">
        <w:t xml:space="preserve"> </w:t>
      </w:r>
      <w:proofErr w:type="spellStart"/>
      <w:r w:rsidRPr="00000F0F">
        <w:t>mbrojtjen</w:t>
      </w:r>
      <w:proofErr w:type="spellEnd"/>
      <w:r w:rsidRPr="00000F0F">
        <w:t xml:space="preserve"> e </w:t>
      </w:r>
      <w:proofErr w:type="spellStart"/>
      <w:r w:rsidRPr="00000F0F">
        <w:t>të</w:t>
      </w:r>
      <w:proofErr w:type="spellEnd"/>
      <w:r w:rsidRPr="00000F0F">
        <w:t xml:space="preserve"> </w:t>
      </w:r>
      <w:proofErr w:type="spellStart"/>
      <w:r w:rsidRPr="00000F0F">
        <w:t>dhënave</w:t>
      </w:r>
      <w:proofErr w:type="spellEnd"/>
      <w:r w:rsidRPr="00000F0F">
        <w:t xml:space="preserve"> </w:t>
      </w:r>
      <w:proofErr w:type="spellStart"/>
      <w:r w:rsidRPr="00000F0F">
        <w:t>personale</w:t>
      </w:r>
      <w:proofErr w:type="spellEnd"/>
      <w:r w:rsidRPr="00000F0F">
        <w:t xml:space="preserve"> </w:t>
      </w:r>
      <w:proofErr w:type="spellStart"/>
      <w:r w:rsidRPr="00000F0F">
        <w:t>nga</w:t>
      </w:r>
      <w:proofErr w:type="spellEnd"/>
      <w:r w:rsidRPr="00000F0F">
        <w:t xml:space="preserve"> </w:t>
      </w:r>
      <w:proofErr w:type="spellStart"/>
      <w:r w:rsidRPr="00000F0F">
        <w:t>kontrolluesit</w:t>
      </w:r>
      <w:proofErr w:type="spellEnd"/>
      <w:r w:rsidRPr="00000F0F">
        <w:t xml:space="preserve"> </w:t>
      </w:r>
      <w:proofErr w:type="spellStart"/>
      <w:r w:rsidRPr="00000F0F">
        <w:t>publik</w:t>
      </w:r>
      <w:proofErr w:type="spellEnd"/>
      <w:r w:rsidRPr="00000F0F">
        <w:t xml:space="preserve">. </w:t>
      </w:r>
      <w:proofErr w:type="spellStart"/>
      <w:r w:rsidRPr="00000F0F">
        <w:t>Gjithash</w:t>
      </w:r>
      <w:r w:rsidR="004A7BBA" w:rsidRPr="00000F0F">
        <w:t>tu</w:t>
      </w:r>
      <w:proofErr w:type="spellEnd"/>
      <w:r w:rsidR="004A7BBA" w:rsidRPr="00000F0F">
        <w:t xml:space="preserve">, </w:t>
      </w:r>
      <w:proofErr w:type="spellStart"/>
      <w:r w:rsidR="004A7BBA" w:rsidRPr="00000F0F">
        <w:t>Pyetësori</w:t>
      </w:r>
      <w:proofErr w:type="spellEnd"/>
      <w:r w:rsidR="004A7BBA" w:rsidRPr="00000F0F">
        <w:t xml:space="preserve"> </w:t>
      </w:r>
      <w:proofErr w:type="spellStart"/>
      <w:r w:rsidR="004A7BBA" w:rsidRPr="00000F0F">
        <w:t>synoi</w:t>
      </w:r>
      <w:proofErr w:type="spellEnd"/>
      <w:r w:rsidR="004A7BBA" w:rsidRPr="00000F0F">
        <w:t xml:space="preserve"> </w:t>
      </w:r>
      <w:proofErr w:type="spellStart"/>
      <w:r w:rsidR="004A7BBA" w:rsidRPr="00000F0F">
        <w:t>vlerësimin</w:t>
      </w:r>
      <w:proofErr w:type="spellEnd"/>
      <w:r w:rsidR="004A7BBA" w:rsidRPr="00000F0F">
        <w:t xml:space="preserve"> </w:t>
      </w:r>
      <w:proofErr w:type="spellStart"/>
      <w:r w:rsidRPr="00000F0F">
        <w:t>dhe</w:t>
      </w:r>
      <w:proofErr w:type="spellEnd"/>
      <w:r w:rsidRPr="00000F0F">
        <w:t xml:space="preserve"> </w:t>
      </w:r>
      <w:proofErr w:type="spellStart"/>
      <w:r w:rsidRPr="00000F0F">
        <w:t>zbatimin</w:t>
      </w:r>
      <w:proofErr w:type="spellEnd"/>
      <w:r w:rsidRPr="00000F0F">
        <w:t xml:space="preserve"> e </w:t>
      </w:r>
      <w:proofErr w:type="spellStart"/>
      <w:r w:rsidRPr="00000F0F">
        <w:t>detyrimeve</w:t>
      </w:r>
      <w:proofErr w:type="spellEnd"/>
      <w:r w:rsidRPr="00000F0F">
        <w:t xml:space="preserve"> </w:t>
      </w:r>
      <w:proofErr w:type="spellStart"/>
      <w:r w:rsidRPr="00000F0F">
        <w:t>të</w:t>
      </w:r>
      <w:proofErr w:type="spellEnd"/>
      <w:r w:rsidRPr="00000F0F">
        <w:t xml:space="preserve"> </w:t>
      </w:r>
      <w:proofErr w:type="spellStart"/>
      <w:r w:rsidRPr="00000F0F">
        <w:t>kuadrit</w:t>
      </w:r>
      <w:proofErr w:type="spellEnd"/>
      <w:r w:rsidRPr="00000F0F">
        <w:t xml:space="preserve"> </w:t>
      </w:r>
      <w:proofErr w:type="spellStart"/>
      <w:r w:rsidRPr="00000F0F">
        <w:t>ligjor</w:t>
      </w:r>
      <w:proofErr w:type="spellEnd"/>
      <w:r w:rsidRPr="00000F0F">
        <w:t xml:space="preserve"> </w:t>
      </w:r>
      <w:proofErr w:type="spellStart"/>
      <w:r w:rsidRPr="00000F0F">
        <w:t>në</w:t>
      </w:r>
      <w:proofErr w:type="spellEnd"/>
      <w:r w:rsidRPr="00000F0F">
        <w:t xml:space="preserve"> </w:t>
      </w:r>
      <w:proofErr w:type="spellStart"/>
      <w:r w:rsidRPr="00000F0F">
        <w:t>fuqi</w:t>
      </w:r>
      <w:proofErr w:type="spellEnd"/>
      <w:r w:rsidRPr="00000F0F">
        <w:t xml:space="preserve">, </w:t>
      </w:r>
      <w:proofErr w:type="spellStart"/>
      <w:r w:rsidRPr="00000F0F">
        <w:t>i</w:t>
      </w:r>
      <w:proofErr w:type="spellEnd"/>
      <w:r w:rsidRPr="00000F0F">
        <w:t xml:space="preserve"> </w:t>
      </w:r>
      <w:proofErr w:type="spellStart"/>
      <w:r w:rsidRPr="00000F0F">
        <w:t>cili</w:t>
      </w:r>
      <w:proofErr w:type="spellEnd"/>
      <w:r w:rsidRPr="00000F0F">
        <w:t xml:space="preserve"> </w:t>
      </w:r>
      <w:proofErr w:type="spellStart"/>
      <w:r w:rsidRPr="00000F0F">
        <w:t>rregullon</w:t>
      </w:r>
      <w:proofErr w:type="spellEnd"/>
      <w:r w:rsidRPr="00000F0F">
        <w:t xml:space="preserve"> </w:t>
      </w:r>
      <w:proofErr w:type="spellStart"/>
      <w:r w:rsidRPr="00000F0F">
        <w:t>procesin</w:t>
      </w:r>
      <w:proofErr w:type="spellEnd"/>
      <w:r w:rsidRPr="00000F0F">
        <w:t xml:space="preserve"> e </w:t>
      </w:r>
      <w:proofErr w:type="spellStart"/>
      <w:r w:rsidRPr="00000F0F">
        <w:t>përpunimit</w:t>
      </w:r>
      <w:proofErr w:type="spellEnd"/>
      <w:r w:rsidRPr="00000F0F">
        <w:t xml:space="preserve"> </w:t>
      </w:r>
      <w:proofErr w:type="spellStart"/>
      <w:r w:rsidRPr="00000F0F">
        <w:t>të</w:t>
      </w:r>
      <w:proofErr w:type="spellEnd"/>
      <w:r w:rsidRPr="00000F0F">
        <w:t xml:space="preserve"> </w:t>
      </w:r>
      <w:proofErr w:type="spellStart"/>
      <w:r w:rsidRPr="00000F0F">
        <w:t>të</w:t>
      </w:r>
      <w:proofErr w:type="spellEnd"/>
      <w:r w:rsidRPr="00000F0F">
        <w:t xml:space="preserve"> </w:t>
      </w:r>
      <w:proofErr w:type="spellStart"/>
      <w:r w:rsidRPr="00000F0F">
        <w:t>dhënave</w:t>
      </w:r>
      <w:proofErr w:type="spellEnd"/>
      <w:r w:rsidRPr="00000F0F">
        <w:t xml:space="preserve"> </w:t>
      </w:r>
      <w:proofErr w:type="spellStart"/>
      <w:r w:rsidRPr="00000F0F">
        <w:t>personale</w:t>
      </w:r>
      <w:proofErr w:type="spellEnd"/>
      <w:r w:rsidRPr="00000F0F">
        <w:t xml:space="preserve"> </w:t>
      </w:r>
      <w:proofErr w:type="spellStart"/>
      <w:r w:rsidRPr="00000F0F">
        <w:t>të</w:t>
      </w:r>
      <w:proofErr w:type="spellEnd"/>
      <w:r w:rsidRPr="00000F0F">
        <w:t xml:space="preserve"> </w:t>
      </w:r>
      <w:proofErr w:type="spellStart"/>
      <w:r w:rsidRPr="00000F0F">
        <w:t>qytetarëve</w:t>
      </w:r>
      <w:proofErr w:type="spellEnd"/>
      <w:r w:rsidRPr="00000F0F">
        <w:t xml:space="preserve">. </w:t>
      </w:r>
    </w:p>
    <w:p w:rsidR="008C2B55" w:rsidRPr="00000F0F" w:rsidRDefault="008C2B55" w:rsidP="00000F0F">
      <w:pPr>
        <w:spacing w:line="276" w:lineRule="auto"/>
        <w:jc w:val="both"/>
        <w:rPr>
          <w:rFonts w:eastAsia="Calibri"/>
        </w:rPr>
      </w:pPr>
    </w:p>
    <w:p w:rsidR="008C2B55" w:rsidRPr="00000F0F" w:rsidRDefault="008C2B55" w:rsidP="00000F0F">
      <w:pPr>
        <w:spacing w:line="276" w:lineRule="auto"/>
        <w:jc w:val="both"/>
        <w:rPr>
          <w:rFonts w:eastAsia="Calibri"/>
        </w:rPr>
      </w:pPr>
      <w:r w:rsidRPr="00000F0F">
        <w:rPr>
          <w:rFonts w:eastAsia="Calibri"/>
        </w:rPr>
        <w:t>Zyra e Komisionerit zhvilloi aktivitetin për lançimin e “</w:t>
      </w:r>
      <w:r w:rsidRPr="00000F0F">
        <w:rPr>
          <w:rFonts w:eastAsia="Calibri"/>
          <w:i/>
          <w:iCs/>
        </w:rPr>
        <w:t>Rrjetit të nëpunësve për mbrojtjen e të dhënave personale</w:t>
      </w:r>
      <w:r w:rsidRPr="00000F0F">
        <w:rPr>
          <w:rFonts w:eastAsia="Calibri"/>
        </w:rPr>
        <w:t xml:space="preserve">” </w:t>
      </w:r>
      <w:r w:rsidRPr="00000F0F">
        <w:rPr>
          <w:shd w:val="clear" w:color="auto" w:fill="FFFFFF"/>
        </w:rPr>
        <w:t>si platforma e komunikimit, bashkëpunimit dhe e ndarjes së praktikave të mira në funksion të garantimit të të drejtave të qytetarëve</w:t>
      </w:r>
      <w:r w:rsidRPr="00000F0F">
        <w:rPr>
          <w:rFonts w:eastAsia="Calibri"/>
        </w:rPr>
        <w:t>.   Lançimi i kësaj nisme është përmbushje e rekomandimit të Rezolutës së Kuvendit të Shqipërisë 2022. Për këtë qëllim Zyra e Komisionerit krijoi edhe</w:t>
      </w:r>
      <w:r w:rsidRPr="00000F0F">
        <w:rPr>
          <w:rFonts w:eastAsia="Calibri"/>
          <w:bCs/>
        </w:rPr>
        <w:t xml:space="preserve"> Regjistrin përkatës, i cili është në proces përditësimi të vazhdueshëm me të dhëna të raportuara nga vetë kontrolluesit edhe si rezultat i plotësimit të Formularit të Njoftimit</w:t>
      </w:r>
      <w:r w:rsidRPr="00000F0F">
        <w:rPr>
          <w:rFonts w:eastAsia="Calibri"/>
        </w:rPr>
        <w:t xml:space="preserve">. </w:t>
      </w:r>
    </w:p>
    <w:p w:rsidR="008C2B55" w:rsidRPr="00000F0F" w:rsidRDefault="008C2B55" w:rsidP="00000F0F">
      <w:pPr>
        <w:widowControl w:val="0"/>
        <w:spacing w:line="276" w:lineRule="auto"/>
        <w:jc w:val="both"/>
      </w:pPr>
    </w:p>
    <w:p w:rsidR="008C2B55" w:rsidRPr="00000F0F" w:rsidRDefault="008C2B55" w:rsidP="00000F0F">
      <w:pPr>
        <w:widowControl w:val="0"/>
        <w:spacing w:line="276" w:lineRule="auto"/>
        <w:jc w:val="both"/>
        <w:rPr>
          <w:shd w:val="clear" w:color="auto" w:fill="FFFFFF"/>
        </w:rPr>
      </w:pPr>
      <w:r w:rsidRPr="00000F0F">
        <w:t xml:space="preserve">Në kuadër Ditës së Mbrojtjes së të Dhënave Personale, jane zhvilluar disa aktivitete paralele  me pjesëmarrës të studentëve dhe </w:t>
      </w:r>
      <w:r w:rsidRPr="00000F0F">
        <w:rPr>
          <w:shd w:val="clear" w:color="auto" w:fill="FFFFFF"/>
        </w:rPr>
        <w:t xml:space="preserve">stafin akademik </w:t>
      </w:r>
      <w:r w:rsidRPr="00000F0F">
        <w:t xml:space="preserve">të  </w:t>
      </w:r>
      <w:r w:rsidRPr="00000F0F">
        <w:rPr>
          <w:shd w:val="clear" w:color="auto" w:fill="FFFFFF"/>
        </w:rPr>
        <w:t>Fakulteteve  (Shkencat Juridike, Politike dhe Marrëdhënieve Ndërkombëtare të Universitetit Europian të Tiranës</w:t>
      </w:r>
      <w:r w:rsidRPr="00000F0F">
        <w:t xml:space="preserve"> Universitetit Mesdhetar, </w:t>
      </w:r>
      <w:r w:rsidRPr="00000F0F">
        <w:rPr>
          <w:shd w:val="clear" w:color="auto" w:fill="FFFFFF"/>
        </w:rPr>
        <w:t xml:space="preserve">Fakultetit të Drejtësisë dhe atij Ekonomik të Universitetit të Tiranës). Në këta aktivitete, jane trajtuan çështje të aktualitetit </w:t>
      </w:r>
      <w:r w:rsidRPr="00000F0F">
        <w:t xml:space="preserve">çështje të mbrojtjes së të dhënave personale dhe fushës të së drejtës për informim, </w:t>
      </w:r>
      <w:r w:rsidRPr="00000F0F">
        <w:rPr>
          <w:shd w:val="clear" w:color="auto" w:fill="FFFFFF"/>
        </w:rPr>
        <w:t>kuadrin rregullator dhe veprimtarinë mbikëqyrëse të institucionit.</w:t>
      </w:r>
    </w:p>
    <w:p w:rsidR="008C2B55" w:rsidRPr="00000F0F" w:rsidRDefault="008C2B55" w:rsidP="00000F0F">
      <w:pPr>
        <w:widowControl w:val="0"/>
        <w:spacing w:line="276" w:lineRule="auto"/>
        <w:jc w:val="both"/>
      </w:pPr>
      <w:r w:rsidRPr="00000F0F">
        <w:t xml:space="preserve"> </w:t>
      </w:r>
    </w:p>
    <w:p w:rsidR="00AE7FED" w:rsidRPr="00000F0F" w:rsidRDefault="00AE7FED" w:rsidP="00000F0F">
      <w:pPr>
        <w:pStyle w:val="NormalWeb"/>
        <w:shd w:val="clear" w:color="auto" w:fill="FFFFFF"/>
        <w:spacing w:before="0" w:beforeAutospacing="0" w:after="0" w:afterAutospacing="0" w:line="276" w:lineRule="auto"/>
        <w:jc w:val="both"/>
        <w:textAlignment w:val="baseline"/>
        <w:rPr>
          <w:shd w:val="clear" w:color="auto" w:fill="FFFFFF"/>
        </w:rPr>
      </w:pPr>
      <w:r w:rsidRPr="00000F0F">
        <w:rPr>
          <w:shd w:val="clear" w:color="auto" w:fill="FFFFFF"/>
        </w:rPr>
        <w:t xml:space="preserve"> </w:t>
      </w:r>
      <w:proofErr w:type="spellStart"/>
      <w:r w:rsidRPr="00000F0F">
        <w:rPr>
          <w:color w:val="0D0D0D"/>
        </w:rPr>
        <w:t>Një</w:t>
      </w:r>
      <w:proofErr w:type="spellEnd"/>
      <w:r w:rsidRPr="00000F0F">
        <w:rPr>
          <w:color w:val="0D0D0D"/>
        </w:rPr>
        <w:t xml:space="preserve"> </w:t>
      </w:r>
      <w:proofErr w:type="spellStart"/>
      <w:r w:rsidRPr="00000F0F">
        <w:rPr>
          <w:color w:val="0D0D0D"/>
        </w:rPr>
        <w:t>tjetër</w:t>
      </w:r>
      <w:proofErr w:type="spellEnd"/>
      <w:r w:rsidRPr="00000F0F">
        <w:rPr>
          <w:color w:val="0D0D0D"/>
        </w:rPr>
        <w:t xml:space="preserve"> </w:t>
      </w:r>
      <w:proofErr w:type="spellStart"/>
      <w:r w:rsidRPr="00000F0F">
        <w:rPr>
          <w:color w:val="0D0D0D"/>
        </w:rPr>
        <w:t>aktivitet</w:t>
      </w:r>
      <w:proofErr w:type="spellEnd"/>
      <w:r w:rsidRPr="00000F0F">
        <w:rPr>
          <w:color w:val="0D0D0D"/>
        </w:rPr>
        <w:t xml:space="preserve"> </w:t>
      </w:r>
      <w:proofErr w:type="spellStart"/>
      <w:r w:rsidRPr="00000F0F">
        <w:rPr>
          <w:color w:val="0D0D0D"/>
        </w:rPr>
        <w:t>që</w:t>
      </w:r>
      <w:proofErr w:type="spellEnd"/>
      <w:r w:rsidRPr="00000F0F">
        <w:rPr>
          <w:color w:val="0D0D0D"/>
        </w:rPr>
        <w:t xml:space="preserve"> mbështet të </w:t>
      </w:r>
      <w:proofErr w:type="gramStart"/>
      <w:r w:rsidRPr="00000F0F">
        <w:rPr>
          <w:color w:val="0D0D0D"/>
        </w:rPr>
        <w:t>dy</w:t>
      </w:r>
      <w:proofErr w:type="gramEnd"/>
      <w:r w:rsidRPr="00000F0F">
        <w:rPr>
          <w:color w:val="0D0D0D"/>
        </w:rPr>
        <w:t xml:space="preserve"> shtyllat për garantimin e dy të drejtave </w:t>
      </w:r>
      <w:r w:rsidRPr="00000F0F">
        <w:rPr>
          <w:b/>
          <w:i/>
          <w:color w:val="0D0D0D"/>
        </w:rPr>
        <w:t xml:space="preserve">është </w:t>
      </w:r>
      <w:r w:rsidRPr="00000F0F">
        <w:rPr>
          <w:b/>
          <w:color w:val="0D0D0D"/>
        </w:rPr>
        <w:t>Shërbimi ligjor</w:t>
      </w:r>
      <w:r w:rsidRPr="00000F0F">
        <w:rPr>
          <w:b/>
          <w:i/>
          <w:color w:val="0D0D0D"/>
        </w:rPr>
        <w:t>,</w:t>
      </w:r>
      <w:r w:rsidRPr="00000F0F">
        <w:rPr>
          <w:color w:val="0D0D0D"/>
        </w:rPr>
        <w:t xml:space="preserve"> edhe pse në vitet e kaluara janë trajtuar si produkt më vete.</w:t>
      </w:r>
    </w:p>
    <w:p w:rsidR="00AE7FED" w:rsidRPr="00000F0F" w:rsidRDefault="003A2761" w:rsidP="00000F0F">
      <w:pPr>
        <w:pStyle w:val="ListParagraph"/>
        <w:numPr>
          <w:ilvl w:val="0"/>
          <w:numId w:val="12"/>
        </w:numPr>
        <w:tabs>
          <w:tab w:val="left" w:pos="142"/>
        </w:tabs>
        <w:spacing w:before="240"/>
        <w:jc w:val="both"/>
        <w:rPr>
          <w:rFonts w:ascii="Times New Roman" w:hAnsi="Times New Roman"/>
          <w:b/>
          <w:i/>
          <w:color w:val="0D0D0D" w:themeColor="text1" w:themeTint="F2"/>
          <w:sz w:val="24"/>
          <w:szCs w:val="24"/>
        </w:rPr>
      </w:pPr>
      <w:r w:rsidRPr="00000F0F">
        <w:rPr>
          <w:rFonts w:ascii="Times New Roman" w:hAnsi="Times New Roman"/>
          <w:b/>
          <w:i/>
          <w:color w:val="0D0D0D" w:themeColor="text1" w:themeTint="F2"/>
          <w:sz w:val="24"/>
          <w:szCs w:val="24"/>
        </w:rPr>
        <w:t xml:space="preserve">Hartimin i dokumenteve </w:t>
      </w:r>
    </w:p>
    <w:p w:rsidR="002A3C97" w:rsidRPr="00000F0F" w:rsidRDefault="002A3C97" w:rsidP="00000F0F">
      <w:pPr>
        <w:tabs>
          <w:tab w:val="left" w:pos="142"/>
        </w:tabs>
        <w:spacing w:before="240" w:line="276" w:lineRule="auto"/>
        <w:jc w:val="both"/>
        <w:rPr>
          <w:lang w:val="en-US" w:eastAsia="ko-KR"/>
        </w:rPr>
      </w:pPr>
      <w:proofErr w:type="spellStart"/>
      <w:r w:rsidRPr="00000F0F">
        <w:rPr>
          <w:lang w:val="en-US" w:eastAsia="ko-KR"/>
        </w:rPr>
        <w:lastRenderedPageBreak/>
        <w:t>Finalizimi</w:t>
      </w:r>
      <w:proofErr w:type="spellEnd"/>
      <w:r w:rsidRPr="00000F0F">
        <w:rPr>
          <w:lang w:val="en-US" w:eastAsia="ko-KR"/>
        </w:rPr>
        <w:t xml:space="preserve"> me </w:t>
      </w:r>
      <w:proofErr w:type="spellStart"/>
      <w:r w:rsidRPr="00000F0F">
        <w:rPr>
          <w:lang w:val="en-US" w:eastAsia="ko-KR"/>
        </w:rPr>
        <w:t>sukses</w:t>
      </w:r>
      <w:proofErr w:type="spellEnd"/>
      <w:r w:rsidRPr="00000F0F">
        <w:rPr>
          <w:lang w:val="en-US" w:eastAsia="ko-KR"/>
        </w:rPr>
        <w:t xml:space="preserve"> </w:t>
      </w:r>
      <w:proofErr w:type="spellStart"/>
      <w:r w:rsidRPr="00000F0F">
        <w:rPr>
          <w:lang w:val="en-US" w:eastAsia="ko-KR"/>
        </w:rPr>
        <w:t>gjatë</w:t>
      </w:r>
      <w:proofErr w:type="spellEnd"/>
      <w:r w:rsidRPr="00000F0F">
        <w:rPr>
          <w:lang w:val="en-US" w:eastAsia="ko-KR"/>
        </w:rPr>
        <w:t xml:space="preserve"> </w:t>
      </w:r>
      <w:proofErr w:type="spellStart"/>
      <w:r w:rsidRPr="00000F0F">
        <w:rPr>
          <w:lang w:val="en-US" w:eastAsia="ko-KR"/>
        </w:rPr>
        <w:t>vitit</w:t>
      </w:r>
      <w:proofErr w:type="spellEnd"/>
      <w:r w:rsidRPr="00000F0F">
        <w:rPr>
          <w:lang w:val="en-US" w:eastAsia="ko-KR"/>
        </w:rPr>
        <w:t xml:space="preserve"> 2022 </w:t>
      </w:r>
      <w:proofErr w:type="spellStart"/>
      <w:r w:rsidRPr="00000F0F">
        <w:rPr>
          <w:lang w:val="en-US" w:eastAsia="ko-KR"/>
        </w:rPr>
        <w:t>i</w:t>
      </w:r>
      <w:proofErr w:type="spellEnd"/>
      <w:r w:rsidRPr="00000F0F">
        <w:rPr>
          <w:lang w:val="en-US" w:eastAsia="ko-KR"/>
        </w:rPr>
        <w:t xml:space="preserve"> </w:t>
      </w:r>
      <w:proofErr w:type="spellStart"/>
      <w:r w:rsidRPr="00000F0F">
        <w:rPr>
          <w:lang w:val="en-US" w:eastAsia="ko-KR"/>
        </w:rPr>
        <w:t>procesit</w:t>
      </w:r>
      <w:proofErr w:type="spellEnd"/>
      <w:r w:rsidRPr="00000F0F">
        <w:rPr>
          <w:lang w:val="en-US" w:eastAsia="ko-KR"/>
        </w:rPr>
        <w:t xml:space="preserve"> </w:t>
      </w:r>
      <w:proofErr w:type="spellStart"/>
      <w:r w:rsidRPr="00000F0F">
        <w:rPr>
          <w:lang w:val="en-US" w:eastAsia="ko-KR"/>
        </w:rPr>
        <w:t>të</w:t>
      </w:r>
      <w:proofErr w:type="spellEnd"/>
      <w:r w:rsidRPr="00000F0F">
        <w:rPr>
          <w:lang w:val="en-US" w:eastAsia="ko-KR"/>
        </w:rPr>
        <w:t xml:space="preserve"> </w:t>
      </w:r>
      <w:proofErr w:type="spellStart"/>
      <w:r w:rsidRPr="00000F0F">
        <w:rPr>
          <w:lang w:val="en-US" w:eastAsia="ko-KR"/>
        </w:rPr>
        <w:t>miratimit</w:t>
      </w:r>
      <w:proofErr w:type="spellEnd"/>
      <w:r w:rsidRPr="00000F0F">
        <w:rPr>
          <w:lang w:val="en-US" w:eastAsia="ko-KR"/>
        </w:rPr>
        <w:t xml:space="preserve"> </w:t>
      </w:r>
      <w:proofErr w:type="spellStart"/>
      <w:r w:rsidRPr="00000F0F">
        <w:rPr>
          <w:lang w:val="en-US" w:eastAsia="ko-KR"/>
        </w:rPr>
        <w:t>të</w:t>
      </w:r>
      <w:proofErr w:type="spellEnd"/>
      <w:r w:rsidRPr="00000F0F">
        <w:rPr>
          <w:lang w:val="en-US" w:eastAsia="ko-KR"/>
        </w:rPr>
        <w:t xml:space="preserve"> 3 </w:t>
      </w:r>
      <w:proofErr w:type="spellStart"/>
      <w:r w:rsidRPr="00000F0F">
        <w:rPr>
          <w:lang w:val="en-US" w:eastAsia="ko-KR"/>
        </w:rPr>
        <w:t>akteve</w:t>
      </w:r>
      <w:proofErr w:type="spellEnd"/>
      <w:r w:rsidRPr="00000F0F">
        <w:rPr>
          <w:lang w:val="en-US" w:eastAsia="ko-KR"/>
        </w:rPr>
        <w:t xml:space="preserve"> </w:t>
      </w:r>
      <w:proofErr w:type="spellStart"/>
      <w:r w:rsidRPr="00000F0F">
        <w:rPr>
          <w:lang w:val="en-US" w:eastAsia="ko-KR"/>
        </w:rPr>
        <w:t>ligjore</w:t>
      </w:r>
      <w:proofErr w:type="spellEnd"/>
      <w:r w:rsidRPr="00000F0F">
        <w:rPr>
          <w:lang w:val="en-US" w:eastAsia="ko-KR"/>
        </w:rPr>
        <w:t xml:space="preserve">, </w:t>
      </w:r>
      <w:proofErr w:type="spellStart"/>
      <w:r w:rsidRPr="00000F0F">
        <w:rPr>
          <w:lang w:val="en-US" w:eastAsia="ko-KR"/>
        </w:rPr>
        <w:t>ka</w:t>
      </w:r>
      <w:proofErr w:type="spellEnd"/>
      <w:r w:rsidRPr="00000F0F">
        <w:rPr>
          <w:lang w:val="en-US" w:eastAsia="ko-KR"/>
        </w:rPr>
        <w:t xml:space="preserve"> </w:t>
      </w:r>
      <w:proofErr w:type="spellStart"/>
      <w:r w:rsidRPr="00000F0F">
        <w:rPr>
          <w:lang w:val="en-US" w:eastAsia="ko-KR"/>
        </w:rPr>
        <w:t>ndikim</w:t>
      </w:r>
      <w:proofErr w:type="spellEnd"/>
      <w:r w:rsidRPr="00000F0F">
        <w:rPr>
          <w:lang w:val="en-US" w:eastAsia="ko-KR"/>
        </w:rPr>
        <w:t xml:space="preserve"> </w:t>
      </w:r>
      <w:proofErr w:type="spellStart"/>
      <w:r w:rsidRPr="00000F0F">
        <w:rPr>
          <w:lang w:val="en-US" w:eastAsia="ko-KR"/>
        </w:rPr>
        <w:t>të</w:t>
      </w:r>
      <w:proofErr w:type="spellEnd"/>
      <w:r w:rsidRPr="00000F0F">
        <w:rPr>
          <w:lang w:val="en-US" w:eastAsia="ko-KR"/>
        </w:rPr>
        <w:t xml:space="preserve"> </w:t>
      </w:r>
      <w:proofErr w:type="spellStart"/>
      <w:r w:rsidRPr="00000F0F">
        <w:rPr>
          <w:lang w:val="en-US" w:eastAsia="ko-KR"/>
        </w:rPr>
        <w:t>drejtpërdrejtë</w:t>
      </w:r>
      <w:proofErr w:type="spellEnd"/>
      <w:r w:rsidRPr="00000F0F">
        <w:rPr>
          <w:lang w:val="en-US" w:eastAsia="ko-KR"/>
        </w:rPr>
        <w:t xml:space="preserve"> </w:t>
      </w:r>
      <w:proofErr w:type="spellStart"/>
      <w:r w:rsidRPr="00000F0F">
        <w:rPr>
          <w:lang w:val="en-US" w:eastAsia="ko-KR"/>
        </w:rPr>
        <w:t>në</w:t>
      </w:r>
      <w:proofErr w:type="spellEnd"/>
      <w:r w:rsidRPr="00000F0F">
        <w:rPr>
          <w:lang w:val="en-US" w:eastAsia="ko-KR"/>
        </w:rPr>
        <w:t xml:space="preserve"> </w:t>
      </w:r>
      <w:proofErr w:type="spellStart"/>
      <w:r w:rsidRPr="00000F0F">
        <w:rPr>
          <w:lang w:val="en-US" w:eastAsia="ko-KR"/>
        </w:rPr>
        <w:t>zgjerimin</w:t>
      </w:r>
      <w:proofErr w:type="spellEnd"/>
      <w:r w:rsidRPr="00000F0F">
        <w:rPr>
          <w:lang w:val="en-US" w:eastAsia="ko-KR"/>
        </w:rPr>
        <w:t xml:space="preserve"> e </w:t>
      </w:r>
      <w:proofErr w:type="spellStart"/>
      <w:r w:rsidRPr="00000F0F">
        <w:rPr>
          <w:lang w:val="en-US" w:eastAsia="ko-KR"/>
        </w:rPr>
        <w:t>rolit</w:t>
      </w:r>
      <w:proofErr w:type="spellEnd"/>
      <w:r w:rsidRPr="00000F0F">
        <w:rPr>
          <w:lang w:val="en-US" w:eastAsia="ko-KR"/>
        </w:rPr>
        <w:t xml:space="preserve"> </w:t>
      </w:r>
      <w:proofErr w:type="spellStart"/>
      <w:r w:rsidRPr="00000F0F">
        <w:rPr>
          <w:lang w:val="en-US" w:eastAsia="ko-KR"/>
        </w:rPr>
        <w:t>dhe</w:t>
      </w:r>
      <w:proofErr w:type="spellEnd"/>
      <w:r w:rsidRPr="00000F0F">
        <w:rPr>
          <w:lang w:val="en-US" w:eastAsia="ko-KR"/>
        </w:rPr>
        <w:t xml:space="preserve"> </w:t>
      </w:r>
      <w:proofErr w:type="spellStart"/>
      <w:r w:rsidRPr="00000F0F">
        <w:rPr>
          <w:lang w:val="en-US" w:eastAsia="ko-KR"/>
        </w:rPr>
        <w:t>funksioneve</w:t>
      </w:r>
      <w:proofErr w:type="spellEnd"/>
      <w:r w:rsidRPr="00000F0F">
        <w:rPr>
          <w:lang w:val="en-US" w:eastAsia="ko-KR"/>
        </w:rPr>
        <w:t xml:space="preserve"> </w:t>
      </w:r>
      <w:proofErr w:type="spellStart"/>
      <w:r w:rsidRPr="00000F0F">
        <w:rPr>
          <w:lang w:val="en-US" w:eastAsia="ko-KR"/>
        </w:rPr>
        <w:t>të</w:t>
      </w:r>
      <w:proofErr w:type="spellEnd"/>
      <w:r w:rsidRPr="00000F0F">
        <w:rPr>
          <w:lang w:val="en-US" w:eastAsia="ko-KR"/>
        </w:rPr>
        <w:t xml:space="preserve"> </w:t>
      </w:r>
      <w:proofErr w:type="spellStart"/>
      <w:r w:rsidRPr="00000F0F">
        <w:rPr>
          <w:lang w:val="en-US" w:eastAsia="ko-KR"/>
        </w:rPr>
        <w:t>Zyrës</w:t>
      </w:r>
      <w:proofErr w:type="spellEnd"/>
      <w:r w:rsidRPr="00000F0F">
        <w:rPr>
          <w:lang w:val="en-US" w:eastAsia="ko-KR"/>
        </w:rPr>
        <w:t xml:space="preserve"> </w:t>
      </w:r>
      <w:proofErr w:type="spellStart"/>
      <w:r w:rsidRPr="00000F0F">
        <w:rPr>
          <w:lang w:val="en-US" w:eastAsia="ko-KR"/>
        </w:rPr>
        <w:t>së</w:t>
      </w:r>
      <w:proofErr w:type="spellEnd"/>
      <w:r w:rsidRPr="00000F0F">
        <w:rPr>
          <w:lang w:val="en-US" w:eastAsia="ko-KR"/>
        </w:rPr>
        <w:t xml:space="preserve"> </w:t>
      </w:r>
      <w:proofErr w:type="spellStart"/>
      <w:r w:rsidRPr="00000F0F">
        <w:rPr>
          <w:lang w:val="en-US" w:eastAsia="ko-KR"/>
        </w:rPr>
        <w:t>Komisinerit</w:t>
      </w:r>
      <w:proofErr w:type="spellEnd"/>
      <w:r w:rsidRPr="00000F0F">
        <w:rPr>
          <w:lang w:val="en-US" w:eastAsia="ko-KR"/>
        </w:rPr>
        <w:t xml:space="preserve">, </w:t>
      </w:r>
      <w:proofErr w:type="spellStart"/>
      <w:r w:rsidRPr="00000F0F">
        <w:rPr>
          <w:lang w:val="en-US" w:eastAsia="ko-KR"/>
        </w:rPr>
        <w:t>por</w:t>
      </w:r>
      <w:proofErr w:type="spellEnd"/>
      <w:r w:rsidRPr="00000F0F">
        <w:rPr>
          <w:lang w:val="en-US" w:eastAsia="ko-KR"/>
        </w:rPr>
        <w:t xml:space="preserve"> </w:t>
      </w:r>
      <w:proofErr w:type="spellStart"/>
      <w:r w:rsidRPr="00000F0F">
        <w:rPr>
          <w:lang w:val="en-US" w:eastAsia="ko-KR"/>
        </w:rPr>
        <w:t>nga</w:t>
      </w:r>
      <w:proofErr w:type="spellEnd"/>
      <w:r w:rsidRPr="00000F0F">
        <w:rPr>
          <w:lang w:val="en-US" w:eastAsia="ko-KR"/>
        </w:rPr>
        <w:t xml:space="preserve"> </w:t>
      </w:r>
      <w:proofErr w:type="spellStart"/>
      <w:r w:rsidRPr="00000F0F">
        <w:rPr>
          <w:lang w:val="en-US" w:eastAsia="ko-KR"/>
        </w:rPr>
        <w:t>ana</w:t>
      </w:r>
      <w:proofErr w:type="spellEnd"/>
      <w:r w:rsidRPr="00000F0F">
        <w:rPr>
          <w:lang w:val="en-US" w:eastAsia="ko-KR"/>
        </w:rPr>
        <w:t xml:space="preserve"> </w:t>
      </w:r>
      <w:proofErr w:type="spellStart"/>
      <w:r w:rsidRPr="00000F0F">
        <w:rPr>
          <w:lang w:val="en-US" w:eastAsia="ko-KR"/>
        </w:rPr>
        <w:t>tjetër</w:t>
      </w:r>
      <w:proofErr w:type="spellEnd"/>
      <w:r w:rsidRPr="00000F0F">
        <w:rPr>
          <w:lang w:val="en-US" w:eastAsia="ko-KR"/>
        </w:rPr>
        <w:t xml:space="preserve">, </w:t>
      </w:r>
      <w:proofErr w:type="spellStart"/>
      <w:r w:rsidRPr="00000F0F">
        <w:rPr>
          <w:lang w:val="en-US" w:eastAsia="ko-KR"/>
        </w:rPr>
        <w:t>ato</w:t>
      </w:r>
      <w:proofErr w:type="spellEnd"/>
      <w:r w:rsidRPr="00000F0F">
        <w:rPr>
          <w:lang w:val="en-US" w:eastAsia="ko-KR"/>
        </w:rPr>
        <w:t xml:space="preserve"> </w:t>
      </w:r>
      <w:proofErr w:type="spellStart"/>
      <w:r w:rsidRPr="00000F0F">
        <w:rPr>
          <w:lang w:val="en-US" w:eastAsia="ko-KR"/>
        </w:rPr>
        <w:t>përbëjnë</w:t>
      </w:r>
      <w:proofErr w:type="spellEnd"/>
      <w:r w:rsidRPr="00000F0F">
        <w:rPr>
          <w:lang w:val="en-US" w:eastAsia="ko-KR"/>
        </w:rPr>
        <w:t xml:space="preserve"> </w:t>
      </w:r>
      <w:proofErr w:type="spellStart"/>
      <w:r w:rsidRPr="00000F0F">
        <w:rPr>
          <w:lang w:val="en-US" w:eastAsia="ko-KR"/>
        </w:rPr>
        <w:t>edhe</w:t>
      </w:r>
      <w:proofErr w:type="spellEnd"/>
      <w:r w:rsidRPr="00000F0F">
        <w:rPr>
          <w:lang w:val="en-US" w:eastAsia="ko-KR"/>
        </w:rPr>
        <w:t xml:space="preserve"> </w:t>
      </w:r>
      <w:proofErr w:type="spellStart"/>
      <w:r w:rsidRPr="00000F0F">
        <w:rPr>
          <w:lang w:val="en-US" w:eastAsia="ko-KR"/>
        </w:rPr>
        <w:t>përmbushje</w:t>
      </w:r>
      <w:proofErr w:type="spellEnd"/>
      <w:r w:rsidRPr="00000F0F">
        <w:rPr>
          <w:lang w:val="en-US" w:eastAsia="ko-KR"/>
        </w:rPr>
        <w:t xml:space="preserve"> </w:t>
      </w:r>
      <w:proofErr w:type="spellStart"/>
      <w:r w:rsidRPr="00000F0F">
        <w:rPr>
          <w:lang w:val="en-US" w:eastAsia="ko-KR"/>
        </w:rPr>
        <w:t>të</w:t>
      </w:r>
      <w:proofErr w:type="spellEnd"/>
      <w:r w:rsidRPr="00000F0F">
        <w:rPr>
          <w:lang w:val="en-US" w:eastAsia="ko-KR"/>
        </w:rPr>
        <w:t xml:space="preserve"> </w:t>
      </w:r>
      <w:proofErr w:type="spellStart"/>
      <w:r w:rsidRPr="00000F0F">
        <w:rPr>
          <w:lang w:val="en-US" w:eastAsia="ko-KR"/>
        </w:rPr>
        <w:t>detyrimeve</w:t>
      </w:r>
      <w:proofErr w:type="spellEnd"/>
      <w:r w:rsidRPr="00000F0F">
        <w:rPr>
          <w:lang w:val="en-US" w:eastAsia="ko-KR"/>
        </w:rPr>
        <w:t xml:space="preserve"> </w:t>
      </w:r>
      <w:proofErr w:type="spellStart"/>
      <w:r w:rsidRPr="00000F0F">
        <w:rPr>
          <w:lang w:val="en-US" w:eastAsia="ko-KR"/>
        </w:rPr>
        <w:t>në</w:t>
      </w:r>
      <w:proofErr w:type="spellEnd"/>
      <w:r w:rsidRPr="00000F0F">
        <w:rPr>
          <w:lang w:val="en-US" w:eastAsia="ko-KR"/>
        </w:rPr>
        <w:t xml:space="preserve"> </w:t>
      </w:r>
      <w:proofErr w:type="spellStart"/>
      <w:r w:rsidRPr="00000F0F">
        <w:rPr>
          <w:lang w:val="en-US" w:eastAsia="ko-KR"/>
        </w:rPr>
        <w:t>kuadër</w:t>
      </w:r>
      <w:proofErr w:type="spellEnd"/>
      <w:r w:rsidRPr="00000F0F">
        <w:rPr>
          <w:lang w:val="en-US" w:eastAsia="ko-KR"/>
        </w:rPr>
        <w:t xml:space="preserve"> </w:t>
      </w:r>
      <w:proofErr w:type="spellStart"/>
      <w:r w:rsidRPr="00000F0F">
        <w:rPr>
          <w:lang w:val="en-US" w:eastAsia="ko-KR"/>
        </w:rPr>
        <w:t>të</w:t>
      </w:r>
      <w:proofErr w:type="spellEnd"/>
      <w:r w:rsidRPr="00000F0F">
        <w:rPr>
          <w:lang w:val="en-US" w:eastAsia="ko-KR"/>
        </w:rPr>
        <w:t xml:space="preserve"> </w:t>
      </w:r>
      <w:proofErr w:type="spellStart"/>
      <w:r w:rsidRPr="00000F0F">
        <w:rPr>
          <w:lang w:val="en-US" w:eastAsia="ko-KR"/>
        </w:rPr>
        <w:t>integrimit</w:t>
      </w:r>
      <w:proofErr w:type="spellEnd"/>
      <w:r w:rsidRPr="00000F0F">
        <w:rPr>
          <w:lang w:val="en-US" w:eastAsia="ko-KR"/>
        </w:rPr>
        <w:t xml:space="preserve"> </w:t>
      </w:r>
      <w:proofErr w:type="spellStart"/>
      <w:r w:rsidRPr="00000F0F">
        <w:rPr>
          <w:lang w:val="en-US" w:eastAsia="ko-KR"/>
        </w:rPr>
        <w:t>evropian</w:t>
      </w:r>
      <w:proofErr w:type="spellEnd"/>
      <w:r w:rsidRPr="00000F0F">
        <w:rPr>
          <w:lang w:val="en-US" w:eastAsia="ko-KR"/>
        </w:rPr>
        <w:t xml:space="preserve"> </w:t>
      </w:r>
      <w:proofErr w:type="spellStart"/>
      <w:r w:rsidRPr="00000F0F">
        <w:rPr>
          <w:lang w:val="en-US" w:eastAsia="ko-KR"/>
        </w:rPr>
        <w:t>të</w:t>
      </w:r>
      <w:proofErr w:type="spellEnd"/>
      <w:r w:rsidRPr="00000F0F">
        <w:rPr>
          <w:lang w:val="en-US" w:eastAsia="ko-KR"/>
        </w:rPr>
        <w:t xml:space="preserve"> </w:t>
      </w:r>
      <w:proofErr w:type="spellStart"/>
      <w:r w:rsidRPr="00000F0F">
        <w:rPr>
          <w:lang w:val="en-US" w:eastAsia="ko-KR"/>
        </w:rPr>
        <w:t>vendit</w:t>
      </w:r>
      <w:proofErr w:type="spellEnd"/>
      <w:r w:rsidRPr="00000F0F">
        <w:rPr>
          <w:lang w:val="en-US" w:eastAsia="ko-KR"/>
        </w:rPr>
        <w:t xml:space="preserve">. </w:t>
      </w:r>
      <w:proofErr w:type="spellStart"/>
      <w:r w:rsidRPr="00000F0F">
        <w:rPr>
          <w:lang w:val="en-US" w:eastAsia="ko-KR"/>
        </w:rPr>
        <w:t>Në</w:t>
      </w:r>
      <w:proofErr w:type="spellEnd"/>
      <w:r w:rsidRPr="00000F0F">
        <w:rPr>
          <w:lang w:val="en-US" w:eastAsia="ko-KR"/>
        </w:rPr>
        <w:t xml:space="preserve"> </w:t>
      </w:r>
      <w:proofErr w:type="spellStart"/>
      <w:r w:rsidRPr="00000F0F">
        <w:rPr>
          <w:lang w:val="en-US" w:eastAsia="ko-KR"/>
        </w:rPr>
        <w:t>këtë</w:t>
      </w:r>
      <w:proofErr w:type="spellEnd"/>
      <w:r w:rsidRPr="00000F0F">
        <w:rPr>
          <w:lang w:val="en-US" w:eastAsia="ko-KR"/>
        </w:rPr>
        <w:t xml:space="preserve"> </w:t>
      </w:r>
      <w:proofErr w:type="spellStart"/>
      <w:r w:rsidRPr="00000F0F">
        <w:rPr>
          <w:lang w:val="en-US" w:eastAsia="ko-KR"/>
        </w:rPr>
        <w:t>kontekst</w:t>
      </w:r>
      <w:proofErr w:type="spellEnd"/>
      <w:r w:rsidRPr="00000F0F">
        <w:rPr>
          <w:lang w:val="en-US" w:eastAsia="ko-KR"/>
        </w:rPr>
        <w:t xml:space="preserve">, </w:t>
      </w:r>
      <w:proofErr w:type="spellStart"/>
      <w:r w:rsidRPr="00000F0F">
        <w:rPr>
          <w:lang w:val="en-US" w:eastAsia="ko-KR"/>
        </w:rPr>
        <w:t>plotësimi</w:t>
      </w:r>
      <w:proofErr w:type="spellEnd"/>
      <w:r w:rsidRPr="00000F0F">
        <w:rPr>
          <w:lang w:val="en-US" w:eastAsia="ko-KR"/>
        </w:rPr>
        <w:t xml:space="preserve"> </w:t>
      </w:r>
      <w:proofErr w:type="spellStart"/>
      <w:r w:rsidRPr="00000F0F">
        <w:rPr>
          <w:lang w:val="en-US" w:eastAsia="ko-KR"/>
        </w:rPr>
        <w:t>i</w:t>
      </w:r>
      <w:proofErr w:type="spellEnd"/>
      <w:r w:rsidRPr="00000F0F">
        <w:rPr>
          <w:lang w:val="en-US" w:eastAsia="ko-KR"/>
        </w:rPr>
        <w:t xml:space="preserve"> </w:t>
      </w:r>
      <w:proofErr w:type="spellStart"/>
      <w:r w:rsidRPr="00000F0F">
        <w:rPr>
          <w:lang w:val="en-US" w:eastAsia="ko-KR"/>
        </w:rPr>
        <w:t>arkitekturës</w:t>
      </w:r>
      <w:proofErr w:type="spellEnd"/>
      <w:r w:rsidRPr="00000F0F">
        <w:rPr>
          <w:lang w:val="en-US" w:eastAsia="ko-KR"/>
        </w:rPr>
        <w:t xml:space="preserve"> </w:t>
      </w:r>
      <w:proofErr w:type="spellStart"/>
      <w:r w:rsidRPr="00000F0F">
        <w:rPr>
          <w:lang w:val="en-US" w:eastAsia="ko-KR"/>
        </w:rPr>
        <w:t>rregullatore</w:t>
      </w:r>
      <w:proofErr w:type="spellEnd"/>
      <w:r w:rsidRPr="00000F0F">
        <w:rPr>
          <w:lang w:val="en-US" w:eastAsia="ko-KR"/>
        </w:rPr>
        <w:t xml:space="preserve"> </w:t>
      </w:r>
      <w:proofErr w:type="spellStart"/>
      <w:r w:rsidRPr="00000F0F">
        <w:rPr>
          <w:lang w:val="en-US" w:eastAsia="ko-KR"/>
        </w:rPr>
        <w:t>edhe</w:t>
      </w:r>
      <w:proofErr w:type="spellEnd"/>
      <w:r w:rsidRPr="00000F0F">
        <w:rPr>
          <w:lang w:val="en-US" w:eastAsia="ko-KR"/>
        </w:rPr>
        <w:t xml:space="preserve"> me </w:t>
      </w:r>
      <w:proofErr w:type="spellStart"/>
      <w:r w:rsidRPr="00000F0F">
        <w:rPr>
          <w:lang w:val="en-US" w:eastAsia="ko-KR"/>
        </w:rPr>
        <w:t>aktet</w:t>
      </w:r>
      <w:proofErr w:type="spellEnd"/>
      <w:r w:rsidRPr="00000F0F">
        <w:rPr>
          <w:lang w:val="en-US" w:eastAsia="ko-KR"/>
        </w:rPr>
        <w:t xml:space="preserve"> e </w:t>
      </w:r>
      <w:proofErr w:type="spellStart"/>
      <w:r w:rsidRPr="00000F0F">
        <w:rPr>
          <w:lang w:val="en-US" w:eastAsia="ko-KR"/>
        </w:rPr>
        <w:t>tjera</w:t>
      </w:r>
      <w:proofErr w:type="spellEnd"/>
      <w:r w:rsidRPr="00000F0F">
        <w:rPr>
          <w:lang w:val="en-US" w:eastAsia="ko-KR"/>
        </w:rPr>
        <w:t xml:space="preserve"> do </w:t>
      </w:r>
      <w:proofErr w:type="spellStart"/>
      <w:r w:rsidRPr="00000F0F">
        <w:rPr>
          <w:lang w:val="en-US" w:eastAsia="ko-KR"/>
        </w:rPr>
        <w:t>të</w:t>
      </w:r>
      <w:proofErr w:type="spellEnd"/>
      <w:r w:rsidRPr="00000F0F">
        <w:rPr>
          <w:lang w:val="en-US" w:eastAsia="ko-KR"/>
        </w:rPr>
        <w:t xml:space="preserve"> </w:t>
      </w:r>
      <w:proofErr w:type="spellStart"/>
      <w:r w:rsidRPr="00000F0F">
        <w:rPr>
          <w:lang w:val="en-US" w:eastAsia="ko-KR"/>
        </w:rPr>
        <w:t>konsiderohet</w:t>
      </w:r>
      <w:proofErr w:type="spellEnd"/>
      <w:r w:rsidRPr="00000F0F">
        <w:rPr>
          <w:lang w:val="en-US" w:eastAsia="ko-KR"/>
        </w:rPr>
        <w:t xml:space="preserve"> </w:t>
      </w:r>
      <w:proofErr w:type="spellStart"/>
      <w:r w:rsidRPr="00000F0F">
        <w:rPr>
          <w:lang w:val="en-US" w:eastAsia="ko-KR"/>
        </w:rPr>
        <w:t>si</w:t>
      </w:r>
      <w:proofErr w:type="spellEnd"/>
      <w:r w:rsidRPr="00000F0F">
        <w:rPr>
          <w:lang w:val="en-US" w:eastAsia="ko-KR"/>
        </w:rPr>
        <w:t xml:space="preserve"> </w:t>
      </w:r>
      <w:proofErr w:type="spellStart"/>
      <w:r w:rsidRPr="00000F0F">
        <w:rPr>
          <w:lang w:val="en-US" w:eastAsia="ko-KR"/>
        </w:rPr>
        <w:t>pikë</w:t>
      </w:r>
      <w:proofErr w:type="spellEnd"/>
      <w:r w:rsidRPr="00000F0F">
        <w:rPr>
          <w:lang w:val="en-US" w:eastAsia="ko-KR"/>
        </w:rPr>
        <w:t xml:space="preserve"> </w:t>
      </w:r>
      <w:proofErr w:type="spellStart"/>
      <w:r w:rsidRPr="00000F0F">
        <w:rPr>
          <w:lang w:val="en-US" w:eastAsia="ko-KR"/>
        </w:rPr>
        <w:t>kthese</w:t>
      </w:r>
      <w:proofErr w:type="spellEnd"/>
      <w:r w:rsidRPr="00000F0F">
        <w:rPr>
          <w:lang w:val="en-US" w:eastAsia="ko-KR"/>
        </w:rPr>
        <w:t xml:space="preserve"> </w:t>
      </w:r>
      <w:proofErr w:type="spellStart"/>
      <w:r w:rsidRPr="00000F0F">
        <w:rPr>
          <w:lang w:val="en-US" w:eastAsia="ko-KR"/>
        </w:rPr>
        <w:t>në</w:t>
      </w:r>
      <w:proofErr w:type="spellEnd"/>
      <w:r w:rsidRPr="00000F0F">
        <w:rPr>
          <w:lang w:val="en-US" w:eastAsia="ko-KR"/>
        </w:rPr>
        <w:t xml:space="preserve"> </w:t>
      </w:r>
      <w:proofErr w:type="spellStart"/>
      <w:r w:rsidRPr="00000F0F">
        <w:rPr>
          <w:lang w:val="en-US" w:eastAsia="ko-KR"/>
        </w:rPr>
        <w:t>konsolidimin</w:t>
      </w:r>
      <w:proofErr w:type="spellEnd"/>
      <w:r w:rsidRPr="00000F0F">
        <w:rPr>
          <w:lang w:val="en-US" w:eastAsia="ko-KR"/>
        </w:rPr>
        <w:t xml:space="preserve"> </w:t>
      </w:r>
      <w:proofErr w:type="spellStart"/>
      <w:r w:rsidRPr="00000F0F">
        <w:rPr>
          <w:lang w:val="en-US" w:eastAsia="ko-KR"/>
        </w:rPr>
        <w:t>institucional</w:t>
      </w:r>
      <w:proofErr w:type="spellEnd"/>
      <w:r w:rsidRPr="00000F0F">
        <w:rPr>
          <w:lang w:val="en-US" w:eastAsia="ko-KR"/>
        </w:rPr>
        <w:t xml:space="preserve">, </w:t>
      </w:r>
      <w:proofErr w:type="spellStart"/>
      <w:r w:rsidRPr="00000F0F">
        <w:rPr>
          <w:lang w:val="en-US" w:eastAsia="ko-KR"/>
        </w:rPr>
        <w:t>pavarësinë</w:t>
      </w:r>
      <w:proofErr w:type="spellEnd"/>
      <w:r w:rsidRPr="00000F0F">
        <w:rPr>
          <w:lang w:val="en-US" w:eastAsia="ko-KR"/>
        </w:rPr>
        <w:t xml:space="preserve"> e </w:t>
      </w:r>
      <w:proofErr w:type="spellStart"/>
      <w:r w:rsidRPr="00000F0F">
        <w:rPr>
          <w:lang w:val="en-US" w:eastAsia="ko-KR"/>
        </w:rPr>
        <w:t>tij</w:t>
      </w:r>
      <w:proofErr w:type="spellEnd"/>
      <w:r w:rsidRPr="00000F0F">
        <w:rPr>
          <w:lang w:val="en-US" w:eastAsia="ko-KR"/>
        </w:rPr>
        <w:t xml:space="preserve"> </w:t>
      </w:r>
      <w:proofErr w:type="spellStart"/>
      <w:r w:rsidRPr="00000F0F">
        <w:rPr>
          <w:lang w:val="en-US" w:eastAsia="ko-KR"/>
        </w:rPr>
        <w:t>dhe</w:t>
      </w:r>
      <w:proofErr w:type="spellEnd"/>
      <w:r w:rsidRPr="00000F0F">
        <w:rPr>
          <w:lang w:val="en-US" w:eastAsia="ko-KR"/>
        </w:rPr>
        <w:t xml:space="preserve"> </w:t>
      </w:r>
      <w:proofErr w:type="spellStart"/>
      <w:r w:rsidRPr="00000F0F">
        <w:rPr>
          <w:lang w:val="en-US" w:eastAsia="ko-KR"/>
        </w:rPr>
        <w:t>forcimin</w:t>
      </w:r>
      <w:proofErr w:type="spellEnd"/>
      <w:r w:rsidRPr="00000F0F">
        <w:rPr>
          <w:lang w:val="en-US" w:eastAsia="ko-KR"/>
        </w:rPr>
        <w:t xml:space="preserve"> e </w:t>
      </w:r>
      <w:proofErr w:type="spellStart"/>
      <w:r w:rsidRPr="00000F0F">
        <w:rPr>
          <w:lang w:val="en-US" w:eastAsia="ko-KR"/>
        </w:rPr>
        <w:t>kapaciteteve</w:t>
      </w:r>
      <w:proofErr w:type="spellEnd"/>
      <w:r w:rsidRPr="00000F0F">
        <w:rPr>
          <w:lang w:val="en-US" w:eastAsia="ko-KR"/>
        </w:rPr>
        <w:t xml:space="preserve"> </w:t>
      </w:r>
      <w:proofErr w:type="spellStart"/>
      <w:r w:rsidRPr="00000F0F">
        <w:rPr>
          <w:lang w:val="en-US" w:eastAsia="ko-KR"/>
        </w:rPr>
        <w:t>profesionale</w:t>
      </w:r>
      <w:proofErr w:type="spellEnd"/>
    </w:p>
    <w:p w:rsidR="002A3C97" w:rsidRPr="00000F0F" w:rsidRDefault="002A3C97" w:rsidP="00000F0F">
      <w:pPr>
        <w:pStyle w:val="ListParagraph"/>
        <w:numPr>
          <w:ilvl w:val="0"/>
          <w:numId w:val="23"/>
        </w:numPr>
        <w:tabs>
          <w:tab w:val="left" w:pos="142"/>
        </w:tabs>
        <w:spacing w:before="240"/>
        <w:ind w:right="-276"/>
        <w:jc w:val="both"/>
        <w:rPr>
          <w:rFonts w:ascii="Times New Roman" w:hAnsi="Times New Roman"/>
          <w:i/>
          <w:color w:val="000000"/>
          <w:sz w:val="24"/>
          <w:szCs w:val="24"/>
        </w:rPr>
      </w:pPr>
      <w:r w:rsidRPr="00000F0F">
        <w:rPr>
          <w:rFonts w:ascii="Times New Roman" w:hAnsi="Times New Roman"/>
          <w:color w:val="000000"/>
          <w:sz w:val="24"/>
          <w:szCs w:val="24"/>
        </w:rPr>
        <w:t xml:space="preserve">  Ligji nr. 45/2022, datë 28.</w:t>
      </w:r>
      <w:r w:rsidRPr="00000F0F">
        <w:rPr>
          <w:rFonts w:ascii="Times New Roman" w:hAnsi="Times New Roman"/>
          <w:color w:val="000000"/>
          <w:sz w:val="24"/>
          <w:szCs w:val="24"/>
          <w:lang w:val="en-US"/>
        </w:rPr>
        <w:t>0</w:t>
      </w:r>
      <w:r w:rsidRPr="00000F0F">
        <w:rPr>
          <w:rFonts w:ascii="Times New Roman" w:hAnsi="Times New Roman"/>
          <w:color w:val="000000"/>
          <w:sz w:val="24"/>
          <w:szCs w:val="24"/>
        </w:rPr>
        <w:t>4.2022 “Për ratifikimin e  Konventës së Këshillit të Evropës “Për aksesin në  dokumente zyrtare”</w:t>
      </w:r>
      <w:r w:rsidRPr="00000F0F">
        <w:rPr>
          <w:rFonts w:ascii="Times New Roman" w:hAnsi="Times New Roman"/>
          <w:color w:val="000000"/>
          <w:sz w:val="24"/>
          <w:szCs w:val="24"/>
          <w:lang w:val="en-US"/>
        </w:rPr>
        <w:t xml:space="preserve">, </w:t>
      </w:r>
      <w:r w:rsidRPr="00000F0F">
        <w:rPr>
          <w:rFonts w:ascii="Times New Roman" w:hAnsi="Times New Roman"/>
          <w:i/>
          <w:color w:val="000000"/>
          <w:sz w:val="24"/>
          <w:szCs w:val="24"/>
          <w:lang w:val="en-US"/>
        </w:rPr>
        <w:t>(</w:t>
      </w:r>
      <w:r w:rsidRPr="00000F0F">
        <w:rPr>
          <w:rFonts w:ascii="Times New Roman" w:hAnsi="Times New Roman"/>
          <w:i/>
          <w:color w:val="000000"/>
          <w:sz w:val="24"/>
          <w:szCs w:val="24"/>
        </w:rPr>
        <w:t>botuar në f</w:t>
      </w:r>
      <w:r w:rsidRPr="00000F0F">
        <w:rPr>
          <w:rFonts w:ascii="Times New Roman" w:hAnsi="Times New Roman"/>
          <w:bCs/>
          <w:i/>
          <w:iCs/>
          <w:color w:val="000000"/>
          <w:sz w:val="24"/>
          <w:szCs w:val="24"/>
        </w:rPr>
        <w:t>letore zyrtare nr.70, datë 12.05.2022);</w:t>
      </w:r>
    </w:p>
    <w:p w:rsidR="002A3C97" w:rsidRPr="00000F0F" w:rsidRDefault="002A3C97" w:rsidP="00000F0F">
      <w:pPr>
        <w:pStyle w:val="ListParagraph"/>
        <w:numPr>
          <w:ilvl w:val="0"/>
          <w:numId w:val="23"/>
        </w:numPr>
        <w:tabs>
          <w:tab w:val="left" w:pos="142"/>
        </w:tabs>
        <w:ind w:right="-276"/>
        <w:jc w:val="both"/>
        <w:rPr>
          <w:rFonts w:ascii="Times New Roman" w:hAnsi="Times New Roman"/>
          <w:bCs/>
          <w:i/>
          <w:iCs/>
          <w:color w:val="000000"/>
          <w:sz w:val="24"/>
          <w:szCs w:val="24"/>
        </w:rPr>
      </w:pPr>
      <w:r w:rsidRPr="00000F0F">
        <w:rPr>
          <w:rFonts w:ascii="Times New Roman" w:hAnsi="Times New Roman"/>
          <w:color w:val="000000"/>
          <w:sz w:val="24"/>
          <w:szCs w:val="24"/>
        </w:rPr>
        <w:t xml:space="preserve">   Ligji nr. 49/2022 datë 12.05.2022 “Për ratifikimin e Protokollit Ndryshues të Konventës “Për mbrojtjen e  individëve në lidhje me  përpunimin automatik të të dhënave personale”, </w:t>
      </w:r>
      <w:r w:rsidRPr="00000F0F">
        <w:rPr>
          <w:rFonts w:ascii="Times New Roman" w:hAnsi="Times New Roman"/>
          <w:bCs/>
          <w:i/>
          <w:iCs/>
          <w:color w:val="000000"/>
          <w:sz w:val="24"/>
          <w:szCs w:val="24"/>
        </w:rPr>
        <w:t>(botuar në fletore zyrtare nr.79, datë 26.05.2022);</w:t>
      </w:r>
    </w:p>
    <w:p w:rsidR="002A3C97" w:rsidRPr="00000F0F" w:rsidRDefault="002A3C97" w:rsidP="00000F0F">
      <w:pPr>
        <w:pStyle w:val="ListParagraph"/>
        <w:numPr>
          <w:ilvl w:val="0"/>
          <w:numId w:val="23"/>
        </w:numPr>
        <w:spacing w:before="240" w:after="0"/>
        <w:ind w:right="-276"/>
        <w:jc w:val="both"/>
        <w:rPr>
          <w:rFonts w:ascii="Times New Roman" w:hAnsi="Times New Roman"/>
          <w:sz w:val="24"/>
          <w:szCs w:val="24"/>
          <w:lang w:eastAsia="sq-AL"/>
        </w:rPr>
      </w:pPr>
      <w:r w:rsidRPr="00000F0F">
        <w:rPr>
          <w:rFonts w:ascii="Times New Roman" w:hAnsi="Times New Roman"/>
          <w:sz w:val="24"/>
          <w:szCs w:val="24"/>
          <w:lang w:eastAsia="sq-AL"/>
        </w:rPr>
        <w:t xml:space="preserve">Ligji nr. 33/2022, datë 31.03.2022 “Për të dhënat e hapura dhe ripërdorimin e informacionit të sektorit publik”, </w:t>
      </w:r>
      <w:r w:rsidRPr="00000F0F">
        <w:rPr>
          <w:rFonts w:ascii="Times New Roman" w:hAnsi="Times New Roman"/>
          <w:i/>
          <w:sz w:val="24"/>
          <w:szCs w:val="24"/>
          <w:lang w:eastAsia="sq-AL"/>
        </w:rPr>
        <w:t>(botuar në f</w:t>
      </w:r>
      <w:r w:rsidRPr="00000F0F">
        <w:rPr>
          <w:rFonts w:ascii="Times New Roman" w:hAnsi="Times New Roman"/>
          <w:bCs/>
          <w:i/>
          <w:iCs/>
          <w:sz w:val="24"/>
          <w:szCs w:val="24"/>
          <w:lang w:eastAsia="sq-AL"/>
        </w:rPr>
        <w:t>letore zyrtare nr.65, datë 29.04.2022);</w:t>
      </w:r>
    </w:p>
    <w:p w:rsidR="00C853EB" w:rsidRPr="00000F0F" w:rsidRDefault="00C853EB" w:rsidP="00000F0F">
      <w:pPr>
        <w:spacing w:before="240" w:line="276" w:lineRule="auto"/>
        <w:ind w:right="-276"/>
        <w:jc w:val="both"/>
      </w:pPr>
    </w:p>
    <w:p w:rsidR="00C853EB" w:rsidRPr="00000F0F" w:rsidRDefault="00C853EB" w:rsidP="00000F0F">
      <w:pPr>
        <w:pStyle w:val="ListParagraph"/>
        <w:numPr>
          <w:ilvl w:val="0"/>
          <w:numId w:val="12"/>
        </w:numPr>
        <w:tabs>
          <w:tab w:val="left" w:pos="142"/>
        </w:tabs>
        <w:ind w:right="206"/>
        <w:jc w:val="both"/>
        <w:rPr>
          <w:rFonts w:ascii="Times New Roman" w:hAnsi="Times New Roman"/>
          <w:b/>
          <w:i/>
          <w:color w:val="0D0D0D" w:themeColor="text1" w:themeTint="F2"/>
          <w:sz w:val="24"/>
          <w:szCs w:val="24"/>
          <w:lang w:val="it-IT"/>
        </w:rPr>
      </w:pPr>
      <w:r w:rsidRPr="00000F0F">
        <w:rPr>
          <w:rFonts w:ascii="Times New Roman" w:hAnsi="Times New Roman"/>
          <w:b/>
          <w:i/>
          <w:color w:val="0D0D0D" w:themeColor="text1" w:themeTint="F2"/>
          <w:sz w:val="24"/>
          <w:szCs w:val="24"/>
          <w:lang w:val="it-IT"/>
        </w:rPr>
        <w:t xml:space="preserve">Dhënie mendimi/opinione ligjore </w:t>
      </w:r>
    </w:p>
    <w:p w:rsidR="00C853EB" w:rsidRPr="00000F0F" w:rsidRDefault="00C853EB" w:rsidP="00000F0F">
      <w:pPr>
        <w:tabs>
          <w:tab w:val="left" w:pos="142"/>
        </w:tabs>
        <w:spacing w:line="276" w:lineRule="auto"/>
        <w:ind w:right="206"/>
        <w:jc w:val="both"/>
        <w:rPr>
          <w:b/>
          <w:i/>
          <w:color w:val="0D0D0D" w:themeColor="text1" w:themeTint="F2"/>
          <w:lang w:val="it-IT"/>
        </w:rPr>
      </w:pPr>
    </w:p>
    <w:p w:rsidR="00C853EB" w:rsidRPr="00000F0F" w:rsidRDefault="00C853EB" w:rsidP="00000F0F">
      <w:pPr>
        <w:spacing w:line="276" w:lineRule="auto"/>
        <w:jc w:val="both"/>
      </w:pPr>
      <w:r w:rsidRPr="00000F0F">
        <w:t xml:space="preserve">Për vitin 2022, Zyra e Komisionerit ka dhënë mendim për 27 projekt akte rregullatore, ndër të cilat 6 projektligje, 15 projektvendime dhe 6 projektmarrëveshje. </w:t>
      </w:r>
    </w:p>
    <w:p w:rsidR="00C853EB" w:rsidRPr="00000F0F" w:rsidRDefault="00C853EB" w:rsidP="00000F0F">
      <w:pPr>
        <w:spacing w:line="276" w:lineRule="auto"/>
        <w:jc w:val="both"/>
      </w:pPr>
      <w:r w:rsidRPr="00000F0F">
        <w:t>Ndërsa janë dhënë edhe 40 opinione për çështje/projekte të paraqitura nga kontrollues publik apo privat.</w:t>
      </w:r>
    </w:p>
    <w:p w:rsidR="00C853EB" w:rsidRPr="00000F0F" w:rsidRDefault="00C853EB" w:rsidP="00000F0F">
      <w:pPr>
        <w:spacing w:line="276" w:lineRule="auto"/>
        <w:jc w:val="both"/>
        <w:rPr>
          <w:color w:val="000000"/>
        </w:rPr>
      </w:pPr>
      <w:r w:rsidRPr="00000F0F">
        <w:t xml:space="preserve">Këto shifra, vlerësojmë, se janë tregues për ndërgjegjësimin në rritje të institucioneve në zbatimin e detyrimit për të konsultuar projektaktet që kanë në objektin e tyre edhe përpunimin e të dhënave personale.  </w:t>
      </w:r>
    </w:p>
    <w:p w:rsidR="002A3C97" w:rsidRPr="00000F0F" w:rsidRDefault="00C853EB" w:rsidP="00000F0F">
      <w:pPr>
        <w:tabs>
          <w:tab w:val="left" w:pos="142"/>
        </w:tabs>
        <w:spacing w:before="240" w:line="276" w:lineRule="auto"/>
        <w:jc w:val="both"/>
        <w:rPr>
          <w:b/>
          <w:i/>
          <w:color w:val="0D0D0D" w:themeColor="text1" w:themeTint="F2"/>
        </w:rPr>
      </w:pPr>
      <w:r w:rsidRPr="00000F0F">
        <w:rPr>
          <w:color w:val="000000"/>
        </w:rPr>
        <w:t xml:space="preserve"> </w:t>
      </w:r>
    </w:p>
    <w:p w:rsidR="003A2761" w:rsidRPr="00000F0F" w:rsidRDefault="003A2761" w:rsidP="00000F0F">
      <w:pPr>
        <w:pStyle w:val="ListParagraph"/>
        <w:numPr>
          <w:ilvl w:val="0"/>
          <w:numId w:val="20"/>
        </w:numPr>
        <w:ind w:left="360"/>
        <w:jc w:val="both"/>
        <w:rPr>
          <w:rFonts w:ascii="Times New Roman" w:hAnsi="Times New Roman"/>
          <w:sz w:val="24"/>
          <w:szCs w:val="24"/>
        </w:rPr>
      </w:pPr>
      <w:r w:rsidRPr="00000F0F">
        <w:rPr>
          <w:rFonts w:ascii="Times New Roman" w:hAnsi="Times New Roman"/>
          <w:sz w:val="24"/>
          <w:szCs w:val="24"/>
        </w:rPr>
        <w:t xml:space="preserve"> Është hartuar Raporti Vjetor 2021 mbi veprimtarinë e Zyrës së Komisionerit për të Drejtën e Informimit dhe Mbrojtjen e të Dhënave Personale drejtuar Kuvendit.</w:t>
      </w:r>
    </w:p>
    <w:p w:rsidR="003A2761" w:rsidRPr="00000F0F" w:rsidRDefault="003A2761" w:rsidP="00000F0F">
      <w:pPr>
        <w:pStyle w:val="ListParagraph"/>
        <w:numPr>
          <w:ilvl w:val="0"/>
          <w:numId w:val="20"/>
        </w:numPr>
        <w:ind w:left="360"/>
        <w:jc w:val="both"/>
        <w:rPr>
          <w:rFonts w:ascii="Times New Roman" w:hAnsi="Times New Roman"/>
          <w:sz w:val="24"/>
          <w:szCs w:val="24"/>
        </w:rPr>
      </w:pPr>
      <w:r w:rsidRPr="00000F0F">
        <w:rPr>
          <w:rFonts w:ascii="Times New Roman" w:hAnsi="Times New Roman"/>
          <w:sz w:val="24"/>
          <w:szCs w:val="24"/>
        </w:rPr>
        <w:t>Është hartuar programi i punës për vitin 2022, për veprimtarinë e punës së Zyrës së Komisionerit.</w:t>
      </w:r>
    </w:p>
    <w:p w:rsidR="003A2761" w:rsidRPr="00000F0F" w:rsidRDefault="003A2761" w:rsidP="00000F0F">
      <w:pPr>
        <w:pStyle w:val="ListParagraph"/>
        <w:numPr>
          <w:ilvl w:val="0"/>
          <w:numId w:val="20"/>
        </w:numPr>
        <w:ind w:left="360"/>
        <w:jc w:val="both"/>
        <w:rPr>
          <w:rFonts w:ascii="Times New Roman" w:hAnsi="Times New Roman"/>
          <w:sz w:val="24"/>
          <w:szCs w:val="24"/>
        </w:rPr>
      </w:pPr>
      <w:r w:rsidRPr="00000F0F">
        <w:rPr>
          <w:rFonts w:ascii="Times New Roman" w:hAnsi="Times New Roman"/>
          <w:sz w:val="24"/>
          <w:szCs w:val="24"/>
        </w:rPr>
        <w:t xml:space="preserve">Është hartuar draft/ Strategjia Institucionale e Zyrës së Komisionerit për periudhën 2022 – 2024. </w:t>
      </w:r>
    </w:p>
    <w:p w:rsidR="003A2761" w:rsidRPr="00000F0F" w:rsidRDefault="003A2761" w:rsidP="00000F0F">
      <w:pPr>
        <w:pStyle w:val="ListParagraph"/>
        <w:numPr>
          <w:ilvl w:val="0"/>
          <w:numId w:val="20"/>
        </w:numPr>
        <w:ind w:left="360"/>
        <w:jc w:val="both"/>
        <w:rPr>
          <w:rFonts w:ascii="Times New Roman" w:hAnsi="Times New Roman"/>
          <w:sz w:val="24"/>
          <w:szCs w:val="24"/>
        </w:rPr>
      </w:pPr>
      <w:r w:rsidRPr="00000F0F">
        <w:rPr>
          <w:rFonts w:ascii="Times New Roman" w:hAnsi="Times New Roman"/>
          <w:sz w:val="24"/>
          <w:szCs w:val="24"/>
        </w:rPr>
        <w:t xml:space="preserve">Është hartuar Rregullore e Brendshme e Brendshme e Zyrës së Komisionerit. </w:t>
      </w:r>
    </w:p>
    <w:p w:rsidR="003F0960" w:rsidRPr="00000F0F" w:rsidRDefault="003A2761" w:rsidP="00000F0F">
      <w:pPr>
        <w:pStyle w:val="ListParagraph"/>
        <w:numPr>
          <w:ilvl w:val="0"/>
          <w:numId w:val="20"/>
        </w:numPr>
        <w:ind w:left="360"/>
        <w:jc w:val="both"/>
        <w:rPr>
          <w:rFonts w:ascii="Times New Roman" w:hAnsi="Times New Roman"/>
          <w:sz w:val="24"/>
          <w:szCs w:val="24"/>
        </w:rPr>
      </w:pPr>
      <w:r w:rsidRPr="00000F0F">
        <w:rPr>
          <w:rFonts w:ascii="Times New Roman" w:hAnsi="Times New Roman"/>
          <w:sz w:val="24"/>
          <w:szCs w:val="24"/>
        </w:rPr>
        <w:t xml:space="preserve">Është hartuar Kodi i Etikës së Zyrës së Komisionerit, sipas VKM-së nr. </w:t>
      </w:r>
      <w:r w:rsidRPr="00000F0F">
        <w:rPr>
          <w:rFonts w:ascii="Times New Roman" w:hAnsi="Times New Roman"/>
          <w:bCs/>
          <w:sz w:val="24"/>
          <w:szCs w:val="24"/>
        </w:rPr>
        <w:t xml:space="preserve">874, datë 29.9.2021, “Për miratimin e rregullave për zbatimin e parimeve të etikës, të klasifikimit të veprimtarive të jashtme dhe vlerën e dhuratave, që mund të pranohen gjatë veprimtarisë  së nëpunësit të administratës publike”. </w:t>
      </w:r>
    </w:p>
    <w:p w:rsidR="00C853EB" w:rsidRPr="00000F0F" w:rsidRDefault="00C853EB" w:rsidP="00000F0F">
      <w:pPr>
        <w:pStyle w:val="ListParagraph"/>
        <w:ind w:left="360"/>
        <w:jc w:val="both"/>
        <w:rPr>
          <w:rFonts w:ascii="Times New Roman" w:hAnsi="Times New Roman"/>
          <w:sz w:val="24"/>
          <w:szCs w:val="24"/>
        </w:rPr>
      </w:pPr>
    </w:p>
    <w:p w:rsidR="003F0960" w:rsidRPr="00000F0F" w:rsidRDefault="003F0960" w:rsidP="00000F0F">
      <w:pPr>
        <w:pStyle w:val="ListParagraph"/>
        <w:numPr>
          <w:ilvl w:val="0"/>
          <w:numId w:val="12"/>
        </w:numPr>
        <w:spacing w:after="240"/>
        <w:jc w:val="both"/>
        <w:rPr>
          <w:rFonts w:ascii="Times New Roman" w:hAnsi="Times New Roman"/>
          <w:b/>
          <w:i/>
          <w:color w:val="0D0D0D" w:themeColor="text1" w:themeTint="F2"/>
          <w:sz w:val="24"/>
          <w:szCs w:val="24"/>
          <w:lang w:val="it-IT"/>
        </w:rPr>
      </w:pPr>
      <w:r w:rsidRPr="00000F0F">
        <w:rPr>
          <w:rFonts w:ascii="Times New Roman" w:hAnsi="Times New Roman"/>
          <w:b/>
          <w:i/>
          <w:color w:val="0D0D0D" w:themeColor="text1" w:themeTint="F2"/>
          <w:sz w:val="24"/>
          <w:szCs w:val="24"/>
          <w:lang w:val="it-IT"/>
        </w:rPr>
        <w:t>Raportime</w:t>
      </w:r>
    </w:p>
    <w:p w:rsidR="003F0960" w:rsidRPr="00000F0F" w:rsidRDefault="003F0960" w:rsidP="00000F0F">
      <w:pPr>
        <w:tabs>
          <w:tab w:val="left" w:pos="142"/>
        </w:tabs>
        <w:spacing w:line="276" w:lineRule="auto"/>
        <w:jc w:val="both"/>
      </w:pPr>
      <w:r w:rsidRPr="00000F0F">
        <w:rPr>
          <w:color w:val="000000"/>
        </w:rPr>
        <w:t>Është</w:t>
      </w:r>
      <w:r w:rsidRPr="00000F0F">
        <w:t xml:space="preserve"> raportuar në mënyrë periodike në kuadër të rekomandimeve të lëna nga Raporti i Shtetit i BE-së për Shqipërinë, për vitin 2022, për Kapitullin 23 “Gjyqësori dhe të drejtat themelore” ,“Kriteri Politik” dhe Kapitullin 10 “Shoqëria e Informacionit dhe Media”. Në këtë kuadër </w:t>
      </w:r>
      <w:r w:rsidRPr="00000F0F">
        <w:rPr>
          <w:color w:val="000000"/>
        </w:rPr>
        <w:t>është</w:t>
      </w:r>
      <w:r w:rsidRPr="00000F0F">
        <w:t>:</w:t>
      </w:r>
    </w:p>
    <w:p w:rsidR="003F0960" w:rsidRPr="00000F0F" w:rsidRDefault="003F0960" w:rsidP="00000F0F">
      <w:pPr>
        <w:pStyle w:val="ListParagraph"/>
        <w:numPr>
          <w:ilvl w:val="0"/>
          <w:numId w:val="19"/>
        </w:numPr>
        <w:tabs>
          <w:tab w:val="left" w:pos="142"/>
        </w:tabs>
        <w:spacing w:after="0"/>
        <w:ind w:left="502"/>
        <w:jc w:val="both"/>
        <w:rPr>
          <w:rFonts w:ascii="Times New Roman" w:hAnsi="Times New Roman"/>
          <w:sz w:val="24"/>
          <w:szCs w:val="24"/>
        </w:rPr>
      </w:pPr>
      <w:r w:rsidRPr="00000F0F">
        <w:rPr>
          <w:rFonts w:ascii="Times New Roman" w:hAnsi="Times New Roman"/>
          <w:sz w:val="24"/>
          <w:szCs w:val="24"/>
        </w:rPr>
        <w:lastRenderedPageBreak/>
        <w:t>raportuar mbi Planin e Masave për zbatimin e rekomandimeve të KE për Zyrën e Komisionerit dërguar nga Ministri i Dretësisë;</w:t>
      </w:r>
      <w:r w:rsidRPr="00000F0F">
        <w:rPr>
          <w:rFonts w:ascii="Times New Roman" w:eastAsia="Times New Roman" w:hAnsi="Times New Roman"/>
          <w:sz w:val="24"/>
          <w:szCs w:val="24"/>
        </w:rPr>
        <w:t xml:space="preserve"> </w:t>
      </w:r>
      <w:r w:rsidRPr="00000F0F">
        <w:rPr>
          <w:rFonts w:ascii="Times New Roman" w:hAnsi="Times New Roman"/>
          <w:color w:val="000000"/>
          <w:sz w:val="24"/>
          <w:szCs w:val="24"/>
        </w:rPr>
        <w:t>Është raportuar për nënkomitetin e 13-të në drejtësi, liri dhe siguri;</w:t>
      </w:r>
    </w:p>
    <w:p w:rsidR="003F0960" w:rsidRPr="00000F0F" w:rsidRDefault="003F0960" w:rsidP="00000F0F">
      <w:pPr>
        <w:pStyle w:val="ListParagraph"/>
        <w:numPr>
          <w:ilvl w:val="0"/>
          <w:numId w:val="19"/>
        </w:numPr>
        <w:tabs>
          <w:tab w:val="left" w:pos="142"/>
        </w:tabs>
        <w:spacing w:after="0"/>
        <w:ind w:left="502"/>
        <w:jc w:val="both"/>
        <w:rPr>
          <w:rFonts w:ascii="Times New Roman" w:hAnsi="Times New Roman"/>
          <w:sz w:val="24"/>
          <w:szCs w:val="24"/>
        </w:rPr>
      </w:pPr>
      <w:r w:rsidRPr="00000F0F">
        <w:rPr>
          <w:rFonts w:ascii="Times New Roman" w:hAnsi="Times New Roman"/>
          <w:sz w:val="24"/>
          <w:szCs w:val="24"/>
        </w:rPr>
        <w:t>është dhënë kontribut mbi ToC për përafrimin e kodit të ri penal me direktivën e BE-së 2018/849 të Parlamentit Evropian dhe Këshillit</w:t>
      </w:r>
      <w:r w:rsidRPr="00000F0F">
        <w:rPr>
          <w:rFonts w:ascii="Times New Roman" w:hAnsi="Times New Roman"/>
          <w:sz w:val="24"/>
          <w:szCs w:val="24"/>
          <w:lang w:val="it-IT"/>
        </w:rPr>
        <w:t>, e 20 majit 2015                                   “Për parandalimin e përdorimit të sistemit financiar për qëllime të pastrimit të parave ose financimit të terrorizmit”’;</w:t>
      </w:r>
    </w:p>
    <w:p w:rsidR="003F0960" w:rsidRPr="00000F0F" w:rsidRDefault="003F0960" w:rsidP="00000F0F">
      <w:pPr>
        <w:pStyle w:val="ListParagraph"/>
        <w:numPr>
          <w:ilvl w:val="0"/>
          <w:numId w:val="19"/>
        </w:numPr>
        <w:tabs>
          <w:tab w:val="left" w:pos="142"/>
        </w:tabs>
        <w:spacing w:after="0"/>
        <w:ind w:left="502"/>
        <w:jc w:val="both"/>
        <w:rPr>
          <w:rFonts w:ascii="Times New Roman" w:hAnsi="Times New Roman"/>
          <w:sz w:val="24"/>
          <w:szCs w:val="24"/>
        </w:rPr>
      </w:pPr>
      <w:r w:rsidRPr="00000F0F">
        <w:rPr>
          <w:rFonts w:ascii="Times New Roman" w:hAnsi="Times New Roman"/>
          <w:sz w:val="24"/>
          <w:szCs w:val="24"/>
          <w:lang w:val="it-IT"/>
        </w:rPr>
        <w:t>janë përgatitur dokumentat e analizës së mangësive ligjore dhe analizës së mangësive institucionale dhe administrative (LGA dhe IAGA), si dhe prezantimet Power Point për Mock Bilateral screening;</w:t>
      </w:r>
    </w:p>
    <w:p w:rsidR="003F0960" w:rsidRPr="00000F0F" w:rsidRDefault="003F0960" w:rsidP="00000F0F">
      <w:pPr>
        <w:pStyle w:val="ListParagraph"/>
        <w:numPr>
          <w:ilvl w:val="0"/>
          <w:numId w:val="19"/>
        </w:numPr>
        <w:tabs>
          <w:tab w:val="left" w:pos="142"/>
        </w:tabs>
        <w:spacing w:after="0"/>
        <w:ind w:left="502"/>
        <w:jc w:val="both"/>
        <w:rPr>
          <w:rFonts w:ascii="Times New Roman" w:hAnsi="Times New Roman"/>
          <w:sz w:val="24"/>
          <w:szCs w:val="24"/>
        </w:rPr>
      </w:pPr>
      <w:r w:rsidRPr="00000F0F">
        <w:rPr>
          <w:rFonts w:ascii="Times New Roman" w:hAnsi="Times New Roman"/>
          <w:color w:val="000000"/>
          <w:sz w:val="24"/>
          <w:szCs w:val="24"/>
        </w:rPr>
        <w:t xml:space="preserve">Është raportuar në zbatim të Vendimit të Kuvendit të Republikës së Shqipërisë nr.134/2018 </w:t>
      </w:r>
      <w:r w:rsidRPr="00000F0F">
        <w:rPr>
          <w:rFonts w:ascii="Times New Roman" w:hAnsi="Times New Roman"/>
          <w:i/>
          <w:color w:val="000000"/>
          <w:sz w:val="24"/>
          <w:szCs w:val="24"/>
        </w:rPr>
        <w:t>“Për miratimin e Manualit të Monitorimit Vjetor dhe Periodik”</w:t>
      </w:r>
      <w:r w:rsidRPr="00000F0F">
        <w:rPr>
          <w:rFonts w:ascii="Times New Roman" w:hAnsi="Times New Roman"/>
          <w:color w:val="000000"/>
          <w:sz w:val="24"/>
          <w:szCs w:val="24"/>
        </w:rPr>
        <w:t>, mbi nivelin</w:t>
      </w:r>
      <w:r w:rsidRPr="00000F0F">
        <w:rPr>
          <w:rFonts w:ascii="Times New Roman" w:hAnsi="Times New Roman"/>
          <w:sz w:val="24"/>
          <w:szCs w:val="24"/>
        </w:rPr>
        <w:t xml:space="preserve"> e zbatimit të rekomandimeve të lëna nga Zyra e Komisionerit, për autoritet</w:t>
      </w:r>
      <w:r w:rsidR="00C853EB" w:rsidRPr="00000F0F">
        <w:rPr>
          <w:rFonts w:ascii="Times New Roman" w:hAnsi="Times New Roman"/>
          <w:sz w:val="24"/>
          <w:szCs w:val="24"/>
        </w:rPr>
        <w:t>et</w:t>
      </w:r>
      <w:r w:rsidRPr="00000F0F">
        <w:rPr>
          <w:rFonts w:ascii="Times New Roman" w:hAnsi="Times New Roman"/>
          <w:sz w:val="24"/>
          <w:szCs w:val="24"/>
        </w:rPr>
        <w:t xml:space="preserve"> publike si dhe statusin e zbatueshmërisë së tyre </w:t>
      </w:r>
      <w:r w:rsidR="00C853EB" w:rsidRPr="00000F0F">
        <w:rPr>
          <w:rFonts w:ascii="Times New Roman" w:hAnsi="Times New Roman"/>
          <w:sz w:val="24"/>
          <w:szCs w:val="24"/>
        </w:rPr>
        <w:t>per periudhen vjetore 2022</w:t>
      </w:r>
    </w:p>
    <w:p w:rsidR="003A2761" w:rsidRPr="00000F0F" w:rsidRDefault="003A2761" w:rsidP="00000F0F">
      <w:pPr>
        <w:pStyle w:val="ListParagraph"/>
        <w:numPr>
          <w:ilvl w:val="0"/>
          <w:numId w:val="19"/>
        </w:numPr>
        <w:tabs>
          <w:tab w:val="left" w:pos="142"/>
        </w:tabs>
        <w:spacing w:after="0"/>
        <w:ind w:left="502"/>
        <w:jc w:val="both"/>
        <w:rPr>
          <w:rFonts w:ascii="Times New Roman" w:hAnsi="Times New Roman"/>
          <w:sz w:val="24"/>
          <w:szCs w:val="24"/>
        </w:rPr>
      </w:pPr>
      <w:r w:rsidRPr="00000F0F">
        <w:rPr>
          <w:rFonts w:ascii="Times New Roman" w:hAnsi="Times New Roman"/>
          <w:sz w:val="24"/>
          <w:szCs w:val="24"/>
        </w:rPr>
        <w:t xml:space="preserve">Është raportuar  në përmbushje të programit të auditimit të KLSH me temë: "Siguria kibernetike për mbrojtjen e të dhënave gjatë përdorimit të shërbimeve publike". </w:t>
      </w:r>
    </w:p>
    <w:p w:rsidR="003A2761" w:rsidRPr="00000F0F" w:rsidRDefault="003A2761" w:rsidP="00000F0F">
      <w:pPr>
        <w:pStyle w:val="ListParagraph"/>
        <w:numPr>
          <w:ilvl w:val="0"/>
          <w:numId w:val="19"/>
        </w:numPr>
        <w:tabs>
          <w:tab w:val="left" w:pos="142"/>
        </w:tabs>
        <w:spacing w:after="0"/>
        <w:ind w:left="502"/>
        <w:jc w:val="both"/>
        <w:rPr>
          <w:rFonts w:ascii="Times New Roman" w:hAnsi="Times New Roman"/>
          <w:sz w:val="24"/>
          <w:szCs w:val="24"/>
        </w:rPr>
      </w:pPr>
      <w:r w:rsidRPr="00000F0F">
        <w:rPr>
          <w:rFonts w:ascii="Times New Roman" w:hAnsi="Times New Roman"/>
          <w:sz w:val="24"/>
          <w:szCs w:val="24"/>
        </w:rPr>
        <w:t>Është raportuar në kuadër të</w:t>
      </w:r>
      <w:r w:rsidRPr="00000F0F">
        <w:rPr>
          <w:rFonts w:ascii="Times New Roman" w:hAnsi="Times New Roman"/>
          <w:sz w:val="24"/>
          <w:szCs w:val="24"/>
          <w:lang w:val="en-US"/>
        </w:rPr>
        <w:t> </w:t>
      </w:r>
      <w:r w:rsidRPr="00000F0F">
        <w:rPr>
          <w:rFonts w:ascii="Times New Roman" w:hAnsi="Times New Roman"/>
          <w:sz w:val="24"/>
          <w:szCs w:val="24"/>
        </w:rPr>
        <w:t xml:space="preserve">Misionit të Vlerësimit nga Komisioni Evropian, mbi monitorimin e institucioneve të pavarura dhe funksionimin efektiv të tyre. </w:t>
      </w:r>
    </w:p>
    <w:p w:rsidR="003F0960" w:rsidRPr="00000F0F" w:rsidRDefault="003F0960" w:rsidP="00000F0F">
      <w:pPr>
        <w:pStyle w:val="ListParagraph"/>
        <w:numPr>
          <w:ilvl w:val="0"/>
          <w:numId w:val="19"/>
        </w:numPr>
        <w:tabs>
          <w:tab w:val="left" w:pos="142"/>
        </w:tabs>
        <w:spacing w:after="0"/>
        <w:ind w:left="502"/>
        <w:jc w:val="both"/>
        <w:rPr>
          <w:rFonts w:ascii="Times New Roman" w:hAnsi="Times New Roman"/>
          <w:sz w:val="24"/>
          <w:szCs w:val="24"/>
        </w:rPr>
      </w:pPr>
      <w:r w:rsidRPr="00000F0F">
        <w:rPr>
          <w:rFonts w:ascii="Times New Roman" w:hAnsi="Times New Roman"/>
          <w:color w:val="000000"/>
          <w:sz w:val="24"/>
          <w:szCs w:val="24"/>
        </w:rPr>
        <w:t xml:space="preserve">Është raportuar në kuadër të </w:t>
      </w:r>
      <w:r w:rsidRPr="00000F0F">
        <w:rPr>
          <w:rFonts w:ascii="Times New Roman" w:hAnsi="Times New Roman"/>
          <w:i/>
          <w:sz w:val="24"/>
          <w:szCs w:val="24"/>
        </w:rPr>
        <w:t xml:space="preserve">zbatimit të “Strategjisë së Drejtësisë për të Mitur dhe të Planit të saj të Veprimit 2018-2021”. </w:t>
      </w:r>
    </w:p>
    <w:p w:rsidR="003F0960" w:rsidRPr="00000F0F" w:rsidRDefault="003F0960" w:rsidP="00000F0F">
      <w:pPr>
        <w:pStyle w:val="ListParagraph"/>
        <w:numPr>
          <w:ilvl w:val="0"/>
          <w:numId w:val="19"/>
        </w:numPr>
        <w:tabs>
          <w:tab w:val="left" w:pos="142"/>
        </w:tabs>
        <w:spacing w:after="0"/>
        <w:ind w:left="502"/>
        <w:jc w:val="both"/>
        <w:rPr>
          <w:rFonts w:ascii="Times New Roman" w:hAnsi="Times New Roman"/>
          <w:sz w:val="24"/>
          <w:szCs w:val="24"/>
        </w:rPr>
      </w:pPr>
      <w:r w:rsidRPr="00000F0F">
        <w:rPr>
          <w:rFonts w:ascii="Times New Roman" w:hAnsi="Times New Roman"/>
          <w:color w:val="000000"/>
          <w:sz w:val="24"/>
          <w:szCs w:val="24"/>
        </w:rPr>
        <w:t xml:space="preserve">Është raportuar në kuadër të zbatimit të </w:t>
      </w:r>
      <w:r w:rsidRPr="00000F0F">
        <w:rPr>
          <w:rFonts w:ascii="Times New Roman" w:hAnsi="Times New Roman"/>
          <w:i/>
          <w:color w:val="000000"/>
          <w:sz w:val="24"/>
          <w:szCs w:val="24"/>
        </w:rPr>
        <w:t>“</w:t>
      </w:r>
      <w:r w:rsidRPr="00000F0F">
        <w:rPr>
          <w:rFonts w:ascii="Times New Roman" w:hAnsi="Times New Roman"/>
          <w:i/>
          <w:sz w:val="24"/>
          <w:szCs w:val="24"/>
        </w:rPr>
        <w:t>Strategjisë për Edukimin Ligjor të Publikut 2019-2023 dhe Plani i Veprimit 2019–2023”.</w:t>
      </w:r>
      <w:r w:rsidRPr="00000F0F">
        <w:rPr>
          <w:rFonts w:ascii="Times New Roman" w:hAnsi="Times New Roman"/>
          <w:sz w:val="24"/>
          <w:szCs w:val="24"/>
        </w:rPr>
        <w:t xml:space="preserve"> </w:t>
      </w:r>
    </w:p>
    <w:p w:rsidR="00C853EB" w:rsidRPr="00000F0F" w:rsidRDefault="003A2761" w:rsidP="00000F0F">
      <w:pPr>
        <w:pStyle w:val="ListParagraph"/>
        <w:numPr>
          <w:ilvl w:val="0"/>
          <w:numId w:val="19"/>
        </w:numPr>
        <w:tabs>
          <w:tab w:val="left" w:pos="142"/>
        </w:tabs>
        <w:spacing w:after="0"/>
        <w:ind w:left="502"/>
        <w:jc w:val="both"/>
        <w:rPr>
          <w:rFonts w:ascii="Times New Roman" w:hAnsi="Times New Roman"/>
          <w:sz w:val="24"/>
          <w:szCs w:val="24"/>
        </w:rPr>
      </w:pPr>
      <w:r w:rsidRPr="00000F0F">
        <w:rPr>
          <w:rFonts w:ascii="Times New Roman" w:hAnsi="Times New Roman"/>
          <w:sz w:val="24"/>
          <w:szCs w:val="24"/>
        </w:rPr>
        <w:t xml:space="preserve">Është hartuar 1 (një) Raport në kuadër të Strategjisë Kombëtare për Zhvillim dhe Integrim 2022-2030; </w:t>
      </w:r>
    </w:p>
    <w:p w:rsidR="00C853EB" w:rsidRPr="00000F0F" w:rsidRDefault="00C853EB" w:rsidP="00000F0F">
      <w:pPr>
        <w:spacing w:line="276" w:lineRule="auto"/>
        <w:jc w:val="both"/>
        <w:rPr>
          <w:iCs/>
        </w:rPr>
      </w:pPr>
    </w:p>
    <w:p w:rsidR="003F0960" w:rsidRPr="00000F0F" w:rsidRDefault="003A2761" w:rsidP="00000F0F">
      <w:pPr>
        <w:spacing w:line="276" w:lineRule="auto"/>
        <w:jc w:val="both"/>
      </w:pPr>
      <w:r w:rsidRPr="00000F0F">
        <w:rPr>
          <w:iCs/>
        </w:rPr>
        <w:t>Sa i p</w:t>
      </w:r>
      <w:r w:rsidR="00C853EB" w:rsidRPr="00000F0F">
        <w:rPr>
          <w:iCs/>
        </w:rPr>
        <w:t>ë</w:t>
      </w:r>
      <w:r w:rsidRPr="00000F0F">
        <w:rPr>
          <w:iCs/>
        </w:rPr>
        <w:t xml:space="preserve">rket marrëdhënieve ndërkombëtare për periudhen e raportuar Zyra e Komisionerit </w:t>
      </w:r>
      <w:r w:rsidR="008B69C4" w:rsidRPr="00000F0F">
        <w:rPr>
          <w:color w:val="000000"/>
        </w:rPr>
        <w:t xml:space="preserve"> eshte anetaresuar në disa grupe pune</w:t>
      </w:r>
      <w:r w:rsidR="00C853EB" w:rsidRPr="00000F0F">
        <w:rPr>
          <w:color w:val="000000"/>
        </w:rPr>
        <w:t xml:space="preserve">. </w:t>
      </w:r>
      <w:r w:rsidR="00C853EB" w:rsidRPr="00000F0F">
        <w:t>Shkëmbi i eksperiencave dhe praktikave më të mira me autoritete homologe është përherë në fokusin e Zyrës së Komisionerit, në funksion të rritjes së kapaciteteve profesionale të stafit. Paralelisht, është bashkëpunuar me institucione/organizma vendore dhe për krijimin e një mjedisi për njohjen dhe ushtirmin e të drejtave të qytetarëve.</w:t>
      </w:r>
    </w:p>
    <w:p w:rsidR="008B69C4" w:rsidRPr="00000F0F" w:rsidRDefault="008B69C4" w:rsidP="00000F0F">
      <w:pPr>
        <w:tabs>
          <w:tab w:val="left" w:pos="1878"/>
        </w:tabs>
        <w:spacing w:line="276" w:lineRule="auto"/>
        <w:jc w:val="both"/>
        <w:rPr>
          <w:color w:val="000000"/>
        </w:rPr>
      </w:pPr>
      <w:r w:rsidRPr="00000F0F">
        <w:rPr>
          <w:color w:val="000000"/>
        </w:rPr>
        <w:t>Zyra e Komisionerit ka  aplikuar dhe ka rezultuar me sukses aplikimi për organizimin e Konferencës Ndërkombëtare të Komisionerëve të Informimit 2024.</w:t>
      </w:r>
    </w:p>
    <w:p w:rsidR="00C853EB" w:rsidRPr="00000F0F" w:rsidRDefault="00C853EB" w:rsidP="00000F0F">
      <w:pPr>
        <w:tabs>
          <w:tab w:val="left" w:pos="1878"/>
        </w:tabs>
        <w:spacing w:line="276" w:lineRule="auto"/>
        <w:jc w:val="both"/>
        <w:rPr>
          <w:color w:val="000000"/>
        </w:rPr>
      </w:pPr>
      <w:r w:rsidRPr="00000F0F">
        <w:rPr>
          <w:color w:val="000000"/>
        </w:rPr>
        <w:t xml:space="preserve">Më gjerësisht  në faqen zyrtare </w:t>
      </w:r>
      <w:hyperlink r:id="rId11" w:history="1">
        <w:r w:rsidRPr="00000F0F">
          <w:rPr>
            <w:rStyle w:val="Hyperlink"/>
          </w:rPr>
          <w:t>www.idp.al</w:t>
        </w:r>
      </w:hyperlink>
      <w:r w:rsidRPr="00000F0F">
        <w:rPr>
          <w:color w:val="000000"/>
        </w:rPr>
        <w:t xml:space="preserve">, keni të publikuar të gjithë aktivitetin/etet e Zyrës së Komisionerit ndërsa në mënyrë të sintetizuar i gjeni në Raportin vjetor të veprimtarisë së institucionit për vitin 2022    </w:t>
      </w:r>
    </w:p>
    <w:p w:rsidR="008B69C4" w:rsidRPr="00000F0F" w:rsidRDefault="008B69C4" w:rsidP="00000F0F">
      <w:pPr>
        <w:pStyle w:val="ListParagraph"/>
        <w:ind w:left="0" w:right="-276"/>
        <w:jc w:val="both"/>
        <w:rPr>
          <w:rFonts w:ascii="Times New Roman" w:hAnsi="Times New Roman"/>
          <w:i/>
          <w:sz w:val="24"/>
          <w:szCs w:val="24"/>
        </w:rPr>
      </w:pPr>
    </w:p>
    <w:p w:rsidR="003F0960" w:rsidRPr="00000F0F" w:rsidRDefault="003F0960" w:rsidP="00000F0F">
      <w:pPr>
        <w:pStyle w:val="ListParagraph"/>
        <w:numPr>
          <w:ilvl w:val="0"/>
          <w:numId w:val="12"/>
        </w:numPr>
        <w:tabs>
          <w:tab w:val="left" w:pos="142"/>
        </w:tabs>
        <w:jc w:val="both"/>
        <w:rPr>
          <w:rFonts w:ascii="Times New Roman" w:hAnsi="Times New Roman"/>
          <w:b/>
          <w:i/>
          <w:color w:val="0D0D0D" w:themeColor="text1" w:themeTint="F2"/>
          <w:sz w:val="24"/>
          <w:szCs w:val="24"/>
        </w:rPr>
      </w:pPr>
      <w:r w:rsidRPr="00000F0F">
        <w:rPr>
          <w:rFonts w:ascii="Times New Roman" w:hAnsi="Times New Roman"/>
          <w:b/>
          <w:i/>
          <w:color w:val="0D0D0D" w:themeColor="text1" w:themeTint="F2"/>
          <w:sz w:val="24"/>
          <w:szCs w:val="24"/>
        </w:rPr>
        <w:t>Procese gjyqësore</w:t>
      </w:r>
    </w:p>
    <w:p w:rsidR="00C853EB" w:rsidRPr="00000F0F" w:rsidRDefault="00C853EB" w:rsidP="00000F0F">
      <w:pPr>
        <w:spacing w:before="240" w:line="276" w:lineRule="auto"/>
        <w:jc w:val="both"/>
      </w:pPr>
      <w:r w:rsidRPr="00000F0F">
        <w:t>Gjatë vitit 2022, Zyra e Komisionerit ka qenë palë në 47 procese gjyqësore pranë Gjykatës Administrative të Shkallës së Parë Tiranë për çështje me objekt zbatimin e ligjit për të drejtën e informimit. Për procedurat e mbyllura, veçanërisht, përmendim faktin se gjykata konfirmoi vendimmarrjen e Zyrës së Komisionerit për 14 raste.</w:t>
      </w:r>
    </w:p>
    <w:p w:rsidR="00C853EB" w:rsidRPr="00000F0F" w:rsidRDefault="00C853EB" w:rsidP="00000F0F">
      <w:pPr>
        <w:spacing w:line="276" w:lineRule="auto"/>
        <w:jc w:val="both"/>
        <w:rPr>
          <w:rFonts w:eastAsia="Calibri"/>
          <w:bCs/>
          <w:i/>
          <w:iCs/>
        </w:rPr>
      </w:pPr>
      <w:r w:rsidRPr="00000F0F">
        <w:rPr>
          <w:rFonts w:eastAsia="Calibri"/>
          <w:bCs/>
        </w:rPr>
        <w:lastRenderedPageBreak/>
        <w:t xml:space="preserve">Institucioni ka qënë palë në 13 procese gjyqësore pranë </w:t>
      </w:r>
      <w:r w:rsidRPr="00000F0F">
        <w:t>Gjykatën Administrative të Shkallës së Parë Tiranë për çështje me objekt legjislacionin për mbrojtjen e të dhënave personale, ku në 8 raste gjykata ka lënë në fuqi vendimmarrjen e Zyrës së Komisionerit.</w:t>
      </w:r>
    </w:p>
    <w:p w:rsidR="00C853EB" w:rsidRPr="00000F0F" w:rsidRDefault="00C853EB" w:rsidP="00000F0F">
      <w:pPr>
        <w:spacing w:line="276" w:lineRule="auto"/>
        <w:jc w:val="both"/>
        <w:rPr>
          <w:rFonts w:eastAsia="Batang"/>
          <w:lang w:eastAsia="ko-KR"/>
        </w:rPr>
      </w:pPr>
      <w:r w:rsidRPr="00000F0F">
        <w:t xml:space="preserve">Gjithashtu, Zyra e Komisionerit është palë në 54 procese gjyqësore që shqyrtohen në Gjykatën Administrative të Apelit Tiranë. Gjatë vitit 2022, u trajtua vetëm 1 çështje, për të cilën gjykata vendosi lënien në fuqi të vendimit të shkallës së parë për rrëzimin e vendimit të Komisionerit dhe rekursi për këtë rast në Gjykatën e Lartë është depozituar në janar të 2023. </w:t>
      </w:r>
    </w:p>
    <w:p w:rsidR="003F0960" w:rsidRPr="00000F0F" w:rsidRDefault="003F0960" w:rsidP="00000F0F">
      <w:pPr>
        <w:tabs>
          <w:tab w:val="left" w:pos="142"/>
        </w:tabs>
        <w:spacing w:line="276" w:lineRule="auto"/>
        <w:jc w:val="both"/>
      </w:pPr>
    </w:p>
    <w:p w:rsidR="003F0960" w:rsidRPr="00000F0F" w:rsidRDefault="003F0960" w:rsidP="00000F0F">
      <w:pPr>
        <w:spacing w:after="120" w:line="276" w:lineRule="auto"/>
        <w:jc w:val="both"/>
        <w:rPr>
          <w:b/>
          <w:color w:val="000000" w:themeColor="text1"/>
        </w:rPr>
      </w:pPr>
      <w:r w:rsidRPr="00000F0F">
        <w:rPr>
          <w:b/>
          <w:color w:val="000000" w:themeColor="text1"/>
        </w:rPr>
        <w:t>-Të ardhurat nga sanksionet/gjoba</w:t>
      </w:r>
    </w:p>
    <w:p w:rsidR="00C853EB" w:rsidRPr="00000F0F" w:rsidRDefault="00C853EB" w:rsidP="00000F0F">
      <w:pPr>
        <w:spacing w:line="276" w:lineRule="auto"/>
        <w:jc w:val="both"/>
        <w:rPr>
          <w:iCs/>
        </w:rPr>
      </w:pPr>
      <w:r w:rsidRPr="00000F0F">
        <w:t>Për vitin 2022 sanksionet administrative e vendosura janë në shumën 13.390.000 lekë</w:t>
      </w:r>
      <w:r w:rsidRPr="00000F0F">
        <w:rPr>
          <w:iCs/>
        </w:rPr>
        <w:t xml:space="preserve">. </w:t>
      </w:r>
      <w:r w:rsidRPr="00000F0F">
        <w:t xml:space="preserve"> Ekzekutimi i sanksioneve arkëtohet 100% në buxhetin e shtetit, duke u shlyer vullnetarisht ose nëpërmjet shërbimit përmbarimor.</w:t>
      </w:r>
    </w:p>
    <w:p w:rsidR="00000F0F" w:rsidRPr="00000F0F" w:rsidRDefault="00000F0F" w:rsidP="00000F0F">
      <w:pPr>
        <w:spacing w:line="276" w:lineRule="auto"/>
        <w:jc w:val="both"/>
      </w:pPr>
    </w:p>
    <w:p w:rsidR="00000F0F" w:rsidRPr="00000F0F" w:rsidRDefault="00000F0F" w:rsidP="00000F0F">
      <w:pPr>
        <w:spacing w:line="276" w:lineRule="auto"/>
        <w:jc w:val="both"/>
      </w:pPr>
      <w:r w:rsidRPr="00000F0F">
        <w:t>Shuma totale e arkëtimit të sanksioneve administrative është 710.000</w:t>
      </w:r>
      <w:r w:rsidRPr="00000F0F">
        <w:rPr>
          <w:iCs/>
        </w:rPr>
        <w:t xml:space="preserve">, e cila ndahet në </w:t>
      </w:r>
      <w:r w:rsidRPr="00000F0F">
        <w:t xml:space="preserve">150.000 </w:t>
      </w:r>
      <w:r w:rsidRPr="00000F0F">
        <w:rPr>
          <w:iCs/>
        </w:rPr>
        <w:t xml:space="preserve">për sanksionet e vendosur në vitin 2022 </w:t>
      </w:r>
      <w:r w:rsidRPr="00000F0F">
        <w:t xml:space="preserve">dhe vlera 560.000 për sanksione të vendosura në vitin 2021.  </w:t>
      </w:r>
    </w:p>
    <w:p w:rsidR="008D09E8" w:rsidRDefault="003F0960" w:rsidP="00000F0F">
      <w:pPr>
        <w:tabs>
          <w:tab w:val="left" w:pos="6765"/>
        </w:tabs>
        <w:spacing w:line="276" w:lineRule="auto"/>
        <w:jc w:val="center"/>
        <w:rPr>
          <w:rFonts w:eastAsia="Batang"/>
          <w:b/>
        </w:rPr>
      </w:pPr>
      <w:r w:rsidRPr="00000F0F">
        <w:rPr>
          <w:rFonts w:eastAsia="Batang"/>
          <w:b/>
        </w:rPr>
        <w:t xml:space="preserve">                                   </w:t>
      </w:r>
    </w:p>
    <w:p w:rsidR="008D09E8" w:rsidRDefault="008D09E8" w:rsidP="008D09E8">
      <w:pPr>
        <w:spacing w:after="120" w:line="276" w:lineRule="auto"/>
        <w:ind w:right="206"/>
        <w:jc w:val="both"/>
        <w:rPr>
          <w:color w:val="080808"/>
        </w:rPr>
      </w:pPr>
    </w:p>
    <w:p w:rsidR="008D09E8" w:rsidRPr="00B151C3" w:rsidRDefault="008D09E8" w:rsidP="008D09E8">
      <w:pPr>
        <w:spacing w:after="120" w:line="276" w:lineRule="auto"/>
        <w:ind w:right="206"/>
        <w:jc w:val="both"/>
      </w:pPr>
    </w:p>
    <w:p w:rsidR="008D09E8" w:rsidRPr="00B151C3" w:rsidRDefault="008D09E8" w:rsidP="008D09E8">
      <w:pPr>
        <w:tabs>
          <w:tab w:val="left" w:pos="6765"/>
        </w:tabs>
        <w:spacing w:line="276" w:lineRule="auto"/>
        <w:jc w:val="center"/>
        <w:rPr>
          <w:rFonts w:eastAsia="Batang"/>
          <w:b/>
        </w:rPr>
      </w:pPr>
      <w:r w:rsidRPr="00B151C3">
        <w:rPr>
          <w:rFonts w:eastAsia="Batang"/>
          <w:b/>
        </w:rPr>
        <w:t xml:space="preserve">                                                                                                        KOMISIONERI </w:t>
      </w:r>
    </w:p>
    <w:p w:rsidR="008D09E8" w:rsidRPr="00B151C3" w:rsidRDefault="008D09E8" w:rsidP="008D09E8">
      <w:pPr>
        <w:tabs>
          <w:tab w:val="left" w:pos="6765"/>
        </w:tabs>
        <w:spacing w:line="276" w:lineRule="auto"/>
        <w:jc w:val="right"/>
      </w:pPr>
    </w:p>
    <w:p w:rsidR="008D09E8" w:rsidRPr="003F0960" w:rsidRDefault="008D09E8" w:rsidP="008D09E8">
      <w:pPr>
        <w:tabs>
          <w:tab w:val="left" w:pos="6765"/>
        </w:tabs>
        <w:spacing w:line="276" w:lineRule="auto"/>
        <w:jc w:val="center"/>
        <w:sectPr w:rsidR="008D09E8" w:rsidRPr="003F0960" w:rsidSect="003F0960">
          <w:footerReference w:type="default" r:id="rId12"/>
          <w:pgSz w:w="11906" w:h="16838" w:code="9"/>
          <w:pgMar w:top="1134" w:right="1701" w:bottom="1134" w:left="1701" w:header="357" w:footer="369" w:gutter="0"/>
          <w:cols w:space="708"/>
          <w:docGrid w:linePitch="360"/>
        </w:sectPr>
      </w:pPr>
      <w:r w:rsidRPr="00B151C3">
        <w:rPr>
          <w:rFonts w:eastAsia="Batang"/>
        </w:rPr>
        <w:t xml:space="preserve">                                                                                                       </w:t>
      </w:r>
      <w:r>
        <w:rPr>
          <w:rFonts w:eastAsia="Batang"/>
          <w:b/>
        </w:rPr>
        <w:t>Besnik Dervishi</w:t>
      </w:r>
    </w:p>
    <w:p w:rsidR="00CA1C01" w:rsidRPr="003F0960" w:rsidRDefault="003F0960" w:rsidP="00000F0F">
      <w:pPr>
        <w:tabs>
          <w:tab w:val="left" w:pos="6765"/>
        </w:tabs>
        <w:spacing w:line="276" w:lineRule="auto"/>
        <w:jc w:val="center"/>
        <w:sectPr w:rsidR="00CA1C01" w:rsidRPr="003F0960" w:rsidSect="003F0960">
          <w:footerReference w:type="default" r:id="rId13"/>
          <w:pgSz w:w="11906" w:h="16838" w:code="9"/>
          <w:pgMar w:top="1134" w:right="1701" w:bottom="1134" w:left="1701" w:header="357" w:footer="369" w:gutter="0"/>
          <w:cols w:space="708"/>
          <w:docGrid w:linePitch="360"/>
        </w:sectPr>
      </w:pPr>
      <w:r w:rsidRPr="00000F0F">
        <w:rPr>
          <w:rFonts w:eastAsia="Batang"/>
          <w:b/>
        </w:rPr>
        <w:lastRenderedPageBreak/>
        <w:t xml:space="preserve">                                                                     </w:t>
      </w:r>
    </w:p>
    <w:p w:rsidR="00A172A0" w:rsidRPr="008C1D0F" w:rsidRDefault="00A172A0" w:rsidP="003F0960">
      <w:pPr>
        <w:spacing w:after="240" w:line="276" w:lineRule="auto"/>
        <w:jc w:val="both"/>
      </w:pPr>
    </w:p>
    <w:sectPr w:rsidR="00A172A0" w:rsidRPr="008C1D0F" w:rsidSect="00A453FF">
      <w:footerReference w:type="default" r:id="rId14"/>
      <w:pgSz w:w="11907" w:h="16839" w:code="9"/>
      <w:pgMar w:top="1418" w:right="1701" w:bottom="1134" w:left="1701"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3F4" w:rsidRDefault="00D133F4">
      <w:r>
        <w:separator/>
      </w:r>
    </w:p>
  </w:endnote>
  <w:endnote w:type="continuationSeparator" w:id="0">
    <w:p w:rsidR="00D133F4" w:rsidRDefault="00D1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ohit Hindi">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3F4" w:rsidRDefault="00D133F4" w:rsidP="00320203">
    <w:pPr>
      <w:pStyle w:val="Footer"/>
    </w:pPr>
    <w:r>
      <w:rPr>
        <w:noProof/>
        <w:sz w:val="16"/>
        <w:szCs w:val="16"/>
        <w:lang w:val="en-US" w:eastAsia="en-US"/>
      </w:rPr>
      <mc:AlternateContent>
        <mc:Choice Requires="wps">
          <w:drawing>
            <wp:anchor distT="4294967294" distB="4294967294" distL="114300" distR="114300" simplePos="0" relativeHeight="251663360" behindDoc="0" locked="0" layoutInCell="1" allowOverlap="1" wp14:anchorId="76ECD672" wp14:editId="76EBC72D">
              <wp:simplePos x="0" y="0"/>
              <wp:positionH relativeFrom="column">
                <wp:posOffset>-51435</wp:posOffset>
              </wp:positionH>
              <wp:positionV relativeFrom="paragraph">
                <wp:posOffset>-29846</wp:posOffset>
              </wp:positionV>
              <wp:extent cx="5471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9870D1C"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5pt,-2.35pt" to="42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" strokecolor="windowText" strokeweight="1.5pt">
              <v:stroke joinstyle="miter"/>
              <o:lock v:ext="edit" shapetype="f"/>
            </v:line>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Tirane”.</w:t>
    </w:r>
    <w:r>
      <w:rPr>
        <w:bCs/>
        <w:sz w:val="16"/>
        <w:szCs w:val="16"/>
      </w:rPr>
      <w:tab/>
      <w:t xml:space="preserve">                                      </w:t>
    </w:r>
    <w:r w:rsidRPr="009D51CA">
      <w:rPr>
        <w:sz w:val="16"/>
        <w:szCs w:val="16"/>
      </w:rPr>
      <w:t>Telefon:00355 42237200</w:t>
    </w:r>
    <w:r>
      <w:rPr>
        <w:sz w:val="16"/>
        <w:szCs w:val="16"/>
      </w:rPr>
      <w:t xml:space="preserve"> </w:t>
    </w:r>
    <w:r w:rsidRPr="009D51CA">
      <w:rPr>
        <w:sz w:val="16"/>
        <w:szCs w:val="16"/>
      </w:rPr>
      <w:t xml:space="preserve"> </w:t>
    </w:r>
    <w:r>
      <w:rPr>
        <w:sz w:val="16"/>
        <w:szCs w:val="16"/>
      </w:rPr>
      <w:t xml:space="preserve">                    </w:t>
    </w:r>
    <w:r>
      <w:rPr>
        <w:rStyle w:val="Hyperlink"/>
        <w:rFonts w:eastAsia="MS Mincho"/>
        <w:sz w:val="16"/>
        <w:szCs w:val="16"/>
      </w:rPr>
      <w:t>www</w:t>
    </w:r>
    <w:hyperlink r:id="rId1" w:history="1">
      <w:r w:rsidRPr="005D785D">
        <w:rPr>
          <w:rStyle w:val="Hyperlink"/>
          <w:rFonts w:eastAsia="MS Mincho"/>
          <w:sz w:val="16"/>
          <w:szCs w:val="16"/>
        </w:rPr>
        <w:t>.idp.al</w:t>
      </w:r>
    </w:hyperlink>
    <w:r w:rsidRPr="00A02BAF">
      <w:rPr>
        <w:color w:val="365F91" w:themeColor="accent1" w:themeShade="BF"/>
        <w:sz w:val="16"/>
        <w:szCs w:val="16"/>
        <w:u w:val="single"/>
      </w:rPr>
      <w:t xml:space="preserve"> info@idp.al</w:t>
    </w:r>
    <w:r w:rsidRPr="001B6125">
      <w:rPr>
        <w:color w:val="0070C0"/>
        <w:sz w:val="16"/>
        <w:szCs w:val="16"/>
      </w:rPr>
      <w:tab/>
    </w:r>
  </w:p>
  <w:p w:rsidR="00D133F4" w:rsidRDefault="00D13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9E8" w:rsidRDefault="008D09E8" w:rsidP="00320203">
    <w:pPr>
      <w:pStyle w:val="Footer"/>
    </w:pPr>
    <w:r>
      <w:rPr>
        <w:noProof/>
        <w:sz w:val="16"/>
        <w:szCs w:val="16"/>
        <w:lang w:val="en-US" w:eastAsia="en-US"/>
      </w:rPr>
      <mc:AlternateContent>
        <mc:Choice Requires="wps">
          <w:drawing>
            <wp:anchor distT="4294967294" distB="4294967294" distL="114300" distR="114300" simplePos="0" relativeHeight="251665408" behindDoc="0" locked="0" layoutInCell="1" allowOverlap="1" wp14:anchorId="6C00113A" wp14:editId="59A1E0AB">
              <wp:simplePos x="0" y="0"/>
              <wp:positionH relativeFrom="column">
                <wp:posOffset>300990</wp:posOffset>
              </wp:positionH>
              <wp:positionV relativeFrom="paragraph">
                <wp:posOffset>-29845</wp:posOffset>
              </wp:positionV>
              <wp:extent cx="5471795"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EA22C3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7pt,-2.35pt" to="454.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" strokecolor="windowText" strokeweight="1.5pt">
              <v:stroke joinstyle="miter"/>
              <o:lock v:ext="edit" shapetype="f"/>
            </v:line>
          </w:pict>
        </mc:Fallback>
      </mc:AlternateContent>
    </w:r>
    <w:r>
      <w:rPr>
        <w:sz w:val="16"/>
        <w:szCs w:val="16"/>
        <w:lang w:val="it-IT"/>
      </w:rPr>
      <w:t xml:space="preserve">           </w: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Tirane”.</w:t>
    </w:r>
    <w:r>
      <w:rPr>
        <w:bCs/>
        <w:sz w:val="16"/>
        <w:szCs w:val="16"/>
      </w:rPr>
      <w:tab/>
      <w:t xml:space="preserve">                                      </w:t>
    </w:r>
    <w:r w:rsidRPr="009D51CA">
      <w:rPr>
        <w:sz w:val="16"/>
        <w:szCs w:val="16"/>
      </w:rPr>
      <w:t>Telefon:00355 42237200</w:t>
    </w:r>
    <w:r>
      <w:rPr>
        <w:sz w:val="16"/>
        <w:szCs w:val="16"/>
      </w:rPr>
      <w:t xml:space="preserve"> </w:t>
    </w:r>
    <w:r w:rsidRPr="009D51CA">
      <w:rPr>
        <w:sz w:val="16"/>
        <w:szCs w:val="16"/>
      </w:rPr>
      <w:t xml:space="preserve"> </w:t>
    </w:r>
    <w:r>
      <w:rPr>
        <w:sz w:val="16"/>
        <w:szCs w:val="16"/>
      </w:rPr>
      <w:t xml:space="preserve">              </w:t>
    </w:r>
    <w:r>
      <w:rPr>
        <w:rStyle w:val="Hyperlink"/>
        <w:rFonts w:eastAsia="MS Mincho"/>
        <w:sz w:val="16"/>
        <w:szCs w:val="16"/>
      </w:rPr>
      <w:t>www</w:t>
    </w:r>
    <w:hyperlink r:id="rId1" w:history="1">
      <w:r w:rsidRPr="005D785D">
        <w:rPr>
          <w:rStyle w:val="Hyperlink"/>
          <w:rFonts w:eastAsia="MS Mincho"/>
          <w:sz w:val="16"/>
          <w:szCs w:val="16"/>
        </w:rPr>
        <w:t>.idp.al</w:t>
      </w:r>
    </w:hyperlink>
    <w:r w:rsidRPr="00A02BAF">
      <w:rPr>
        <w:color w:val="365F91" w:themeColor="accent1" w:themeShade="BF"/>
        <w:sz w:val="16"/>
        <w:szCs w:val="16"/>
        <w:u w:val="single"/>
      </w:rPr>
      <w:t xml:space="preserve"> info@idp.al</w:t>
    </w:r>
    <w:r w:rsidRPr="001B6125">
      <w:rPr>
        <w:color w:val="0070C0"/>
        <w:sz w:val="16"/>
        <w:szCs w:val="16"/>
      </w:rPr>
      <w:tab/>
    </w:r>
  </w:p>
  <w:p w:rsidR="008D09E8" w:rsidRDefault="008D09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3F4" w:rsidRDefault="00D133F4" w:rsidP="00320203">
    <w:pPr>
      <w:pStyle w:val="Footer"/>
    </w:pPr>
    <w:r>
      <w:rPr>
        <w:noProof/>
        <w:sz w:val="16"/>
        <w:szCs w:val="16"/>
        <w:lang w:val="en-US" w:eastAsia="en-US"/>
      </w:rPr>
      <mc:AlternateContent>
        <mc:Choice Requires="wps">
          <w:drawing>
            <wp:anchor distT="4294967294" distB="4294967294" distL="114300" distR="114300" simplePos="0" relativeHeight="251661312" behindDoc="0" locked="0" layoutInCell="1" allowOverlap="1" wp14:anchorId="7E01DD6A" wp14:editId="28981BFA">
              <wp:simplePos x="0" y="0"/>
              <wp:positionH relativeFrom="column">
                <wp:posOffset>300990</wp:posOffset>
              </wp:positionH>
              <wp:positionV relativeFrom="paragraph">
                <wp:posOffset>-29845</wp:posOffset>
              </wp:positionV>
              <wp:extent cx="54717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9F7952D"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7pt,-2.35pt" to="454.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" strokecolor="windowText" strokeweight="1.5pt">
              <v:stroke joinstyle="miter"/>
              <o:lock v:ext="edit" shapetype="f"/>
            </v:line>
          </w:pict>
        </mc:Fallback>
      </mc:AlternateContent>
    </w:r>
    <w:r>
      <w:rPr>
        <w:sz w:val="16"/>
        <w:szCs w:val="16"/>
        <w:lang w:val="it-IT"/>
      </w:rPr>
      <w:t xml:space="preserve">           </w: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Tirane”.</w:t>
    </w:r>
    <w:r>
      <w:rPr>
        <w:bCs/>
        <w:sz w:val="16"/>
        <w:szCs w:val="16"/>
      </w:rPr>
      <w:tab/>
      <w:t xml:space="preserve">                                      </w:t>
    </w:r>
    <w:r w:rsidRPr="009D51CA">
      <w:rPr>
        <w:sz w:val="16"/>
        <w:szCs w:val="16"/>
      </w:rPr>
      <w:t>Telefon:00355 42237200</w:t>
    </w:r>
    <w:r>
      <w:rPr>
        <w:sz w:val="16"/>
        <w:szCs w:val="16"/>
      </w:rPr>
      <w:t xml:space="preserve"> </w:t>
    </w:r>
    <w:r w:rsidRPr="009D51CA">
      <w:rPr>
        <w:sz w:val="16"/>
        <w:szCs w:val="16"/>
      </w:rPr>
      <w:t xml:space="preserve"> </w:t>
    </w:r>
    <w:r>
      <w:rPr>
        <w:sz w:val="16"/>
        <w:szCs w:val="16"/>
      </w:rPr>
      <w:t xml:space="preserve">              </w:t>
    </w:r>
    <w:r>
      <w:rPr>
        <w:rStyle w:val="Hyperlink"/>
        <w:rFonts w:eastAsia="MS Mincho"/>
        <w:sz w:val="16"/>
        <w:szCs w:val="16"/>
      </w:rPr>
      <w:t>www</w:t>
    </w:r>
    <w:hyperlink r:id="rId1" w:history="1">
      <w:r w:rsidRPr="005D785D">
        <w:rPr>
          <w:rStyle w:val="Hyperlink"/>
          <w:rFonts w:eastAsia="MS Mincho"/>
          <w:sz w:val="16"/>
          <w:szCs w:val="16"/>
        </w:rPr>
        <w:t>.idp.al</w:t>
      </w:r>
    </w:hyperlink>
    <w:r w:rsidRPr="00A02BAF">
      <w:rPr>
        <w:color w:val="365F91" w:themeColor="accent1" w:themeShade="BF"/>
        <w:sz w:val="16"/>
        <w:szCs w:val="16"/>
        <w:u w:val="single"/>
      </w:rPr>
      <w:t xml:space="preserve"> info@idp.al</w:t>
    </w:r>
    <w:r w:rsidRPr="001B6125">
      <w:rPr>
        <w:color w:val="0070C0"/>
        <w:sz w:val="16"/>
        <w:szCs w:val="16"/>
      </w:rPr>
      <w:tab/>
    </w:r>
  </w:p>
  <w:p w:rsidR="00D133F4" w:rsidRDefault="00D133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3F4" w:rsidRDefault="00D133F4" w:rsidP="000D005B"/>
  <w:p w:rsidR="00D133F4" w:rsidRDefault="00D133F4" w:rsidP="000D005B">
    <w:pPr>
      <w:pStyle w:val="Footer"/>
    </w:pPr>
    <w:r>
      <w:rPr>
        <w:noProof/>
        <w:lang w:val="en-US" w:eastAsia="en-US"/>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8F63F46"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w:t>
    </w:r>
    <w:r>
      <w:rPr>
        <w:bCs/>
        <w:sz w:val="16"/>
        <w:szCs w:val="16"/>
      </w:rPr>
      <w:t>ë</w:t>
    </w:r>
    <w:r w:rsidRPr="009D51CA">
      <w:rPr>
        <w:bCs/>
        <w:sz w:val="16"/>
        <w:szCs w:val="16"/>
      </w:rPr>
      <w:t>”</w:t>
    </w:r>
    <w:r>
      <w:rPr>
        <w:bCs/>
        <w:sz w:val="16"/>
        <w:szCs w:val="16"/>
      </w:rPr>
      <w:t xml:space="preserve">,                        </w:t>
    </w:r>
    <w:r w:rsidRPr="009D51CA">
      <w:rPr>
        <w:sz w:val="16"/>
        <w:szCs w:val="16"/>
      </w:rPr>
      <w:t>Telefon:00355 42237200</w:t>
    </w:r>
    <w:r>
      <w:rPr>
        <w:sz w:val="16"/>
        <w:szCs w:val="16"/>
      </w:rPr>
      <w:t xml:space="preserve">,                                     </w:t>
    </w:r>
    <w:hyperlink r:id="rId1" w:history="1">
      <w:r w:rsidRPr="003C1980">
        <w:rPr>
          <w:rStyle w:val="Hyperlink"/>
          <w:sz w:val="16"/>
          <w:szCs w:val="16"/>
        </w:rPr>
        <w:t>www.idp.al</w:t>
      </w:r>
    </w:hyperlink>
    <w:r w:rsidRPr="00A02BAF">
      <w:rPr>
        <w:color w:val="365F91" w:themeColor="accent1" w:themeShade="BF"/>
        <w:sz w:val="16"/>
        <w:szCs w:val="16"/>
        <w:u w:val="single"/>
      </w:rPr>
      <w:t xml:space="preserve"> info@idp.al</w:t>
    </w:r>
    <w:r w:rsidRPr="001B6125">
      <w:rPr>
        <w:color w:val="0070C0"/>
        <w:sz w:val="16"/>
        <w:szCs w:val="16"/>
      </w:rPr>
      <w:tab/>
    </w:r>
  </w:p>
  <w:p w:rsidR="00D133F4" w:rsidRPr="005855EA" w:rsidRDefault="00D133F4" w:rsidP="000D0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3F4" w:rsidRDefault="00D133F4">
      <w:r>
        <w:separator/>
      </w:r>
    </w:p>
  </w:footnote>
  <w:footnote w:type="continuationSeparator" w:id="0">
    <w:p w:rsidR="00D133F4" w:rsidRDefault="00D13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5CF"/>
    <w:multiLevelType w:val="hybridMultilevel"/>
    <w:tmpl w:val="730AC088"/>
    <w:lvl w:ilvl="0" w:tplc="1422DF5C">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35C5CA0"/>
    <w:multiLevelType w:val="hybridMultilevel"/>
    <w:tmpl w:val="3B103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10CBF"/>
    <w:multiLevelType w:val="hybridMultilevel"/>
    <w:tmpl w:val="56F8CA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742D76"/>
    <w:multiLevelType w:val="hybridMultilevel"/>
    <w:tmpl w:val="7E529F8E"/>
    <w:lvl w:ilvl="0" w:tplc="A31A91A2">
      <w:start w:val="1"/>
      <w:numFmt w:val="bullet"/>
      <w:lvlText w:val=""/>
      <w:lvlJc w:val="left"/>
      <w:pPr>
        <w:ind w:left="720" w:hanging="360"/>
      </w:pPr>
      <w:rPr>
        <w:rFonts w:ascii="Wingdings" w:hAnsi="Wingdings" w:hint="default"/>
        <w:b w:val="0"/>
        <w:color w:val="EF8D0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E37D4"/>
    <w:multiLevelType w:val="hybridMultilevel"/>
    <w:tmpl w:val="F546264E"/>
    <w:lvl w:ilvl="0" w:tplc="041C0001">
      <w:start w:val="1"/>
      <w:numFmt w:val="bullet"/>
      <w:lvlText w:val=""/>
      <w:lvlJc w:val="left"/>
      <w:pPr>
        <w:ind w:left="360" w:hanging="360"/>
      </w:pPr>
      <w:rPr>
        <w:rFonts w:ascii="Symbol" w:hAnsi="Symbol" w:hint="default"/>
      </w:rPr>
    </w:lvl>
    <w:lvl w:ilvl="1" w:tplc="041C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nsid w:val="1B3B6BAF"/>
    <w:multiLevelType w:val="hybridMultilevel"/>
    <w:tmpl w:val="A7D40E46"/>
    <w:lvl w:ilvl="0" w:tplc="6C4C019C">
      <w:start w:val="1"/>
      <w:numFmt w:val="bullet"/>
      <w:lvlText w:val="-"/>
      <w:lvlJc w:val="left"/>
      <w:pPr>
        <w:ind w:left="720" w:hanging="360"/>
      </w:pPr>
      <w:rPr>
        <w:rFonts w:ascii="Verdana" w:hAnsi="Verdan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22362E20"/>
    <w:multiLevelType w:val="hybridMultilevel"/>
    <w:tmpl w:val="89E46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917667"/>
    <w:multiLevelType w:val="hybridMultilevel"/>
    <w:tmpl w:val="821291CA"/>
    <w:lvl w:ilvl="0" w:tplc="E946A850">
      <w:start w:val="2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E68CE"/>
    <w:multiLevelType w:val="hybridMultilevel"/>
    <w:tmpl w:val="6958B960"/>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9">
    <w:nsid w:val="2A7341D1"/>
    <w:multiLevelType w:val="hybridMultilevel"/>
    <w:tmpl w:val="EF263EDC"/>
    <w:lvl w:ilvl="0" w:tplc="AB5096BA">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37A3226F"/>
    <w:multiLevelType w:val="hybridMultilevel"/>
    <w:tmpl w:val="69EE3A7E"/>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361130"/>
    <w:multiLevelType w:val="hybridMultilevel"/>
    <w:tmpl w:val="1BCE30B2"/>
    <w:lvl w:ilvl="0" w:tplc="9BD268B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9238A1"/>
    <w:multiLevelType w:val="hybridMultilevel"/>
    <w:tmpl w:val="37B205DE"/>
    <w:lvl w:ilvl="0" w:tplc="041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786"/>
        </w:tabs>
        <w:ind w:left="786"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03EB1"/>
    <w:multiLevelType w:val="hybridMultilevel"/>
    <w:tmpl w:val="88AA890C"/>
    <w:lvl w:ilvl="0" w:tplc="0C66EBCA">
      <w:start w:val="1"/>
      <w:numFmt w:val="lowerRoman"/>
      <w:lvlText w:val="%1."/>
      <w:lvlJc w:val="right"/>
      <w:pPr>
        <w:ind w:left="1440" w:hanging="360"/>
      </w:pPr>
      <w:rPr>
        <w:rFonts w:ascii="Times New Roman" w:hAnsi="Times New Roman" w:cs="Times New Roman" w:hint="default"/>
        <w:b w:val="0"/>
        <w:color w:val="EF8D0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840C30"/>
    <w:multiLevelType w:val="hybridMultilevel"/>
    <w:tmpl w:val="A15019B0"/>
    <w:lvl w:ilvl="0" w:tplc="FD2C1236">
      <w:start w:val="1"/>
      <w:numFmt w:val="bullet"/>
      <w:lvlText w:val=""/>
      <w:lvlJc w:val="left"/>
      <w:pPr>
        <w:ind w:left="360" w:hanging="360"/>
      </w:pPr>
      <w:rPr>
        <w:rFonts w:ascii="Wingdings" w:hAnsi="Wingdings" w:hint="default"/>
        <w:color w:val="8B176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0E124C"/>
    <w:multiLevelType w:val="hybridMultilevel"/>
    <w:tmpl w:val="507AB466"/>
    <w:lvl w:ilvl="0" w:tplc="0409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8">
    <w:nsid w:val="49760AA8"/>
    <w:multiLevelType w:val="hybridMultilevel"/>
    <w:tmpl w:val="83FE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E971B0"/>
    <w:multiLevelType w:val="hybridMultilevel"/>
    <w:tmpl w:val="014296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054FE8"/>
    <w:multiLevelType w:val="hybridMultilevel"/>
    <w:tmpl w:val="DB1084FA"/>
    <w:lvl w:ilvl="0" w:tplc="CC3498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501D3"/>
    <w:multiLevelType w:val="hybridMultilevel"/>
    <w:tmpl w:val="4A925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8846B0"/>
    <w:multiLevelType w:val="hybridMultilevel"/>
    <w:tmpl w:val="32F08AD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4">
    <w:nsid w:val="5A9F4C6B"/>
    <w:multiLevelType w:val="hybridMultilevel"/>
    <w:tmpl w:val="E3746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8303B0"/>
    <w:multiLevelType w:val="hybridMultilevel"/>
    <w:tmpl w:val="9156F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DB1899"/>
    <w:multiLevelType w:val="hybridMultilevel"/>
    <w:tmpl w:val="F7D07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A622D4"/>
    <w:multiLevelType w:val="hybridMultilevel"/>
    <w:tmpl w:val="C7D013FE"/>
    <w:lvl w:ilvl="0" w:tplc="6C4C019C">
      <w:start w:val="1"/>
      <w:numFmt w:val="bullet"/>
      <w:lvlText w:val="-"/>
      <w:lvlJc w:val="left"/>
      <w:pPr>
        <w:ind w:left="720" w:hanging="360"/>
      </w:pPr>
      <w:rPr>
        <w:rFonts w:ascii="Verdana" w:hAnsi="Verdana"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nsid w:val="6A9A5A07"/>
    <w:multiLevelType w:val="hybridMultilevel"/>
    <w:tmpl w:val="112E6F98"/>
    <w:lvl w:ilvl="0" w:tplc="9BD268B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BF71ED"/>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221905"/>
    <w:multiLevelType w:val="hybridMultilevel"/>
    <w:tmpl w:val="D2CC71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39F60F4"/>
    <w:multiLevelType w:val="hybridMultilevel"/>
    <w:tmpl w:val="90B29208"/>
    <w:lvl w:ilvl="0" w:tplc="6C4C019C">
      <w:start w:val="1"/>
      <w:numFmt w:val="bullet"/>
      <w:lvlText w:val="-"/>
      <w:lvlJc w:val="left"/>
      <w:pPr>
        <w:ind w:left="720" w:hanging="360"/>
      </w:pPr>
      <w:rPr>
        <w:rFonts w:ascii="Verdana" w:hAnsi="Verdana"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nsid w:val="786045DF"/>
    <w:multiLevelType w:val="hybridMultilevel"/>
    <w:tmpl w:val="ED5686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7F25E1"/>
    <w:multiLevelType w:val="hybridMultilevel"/>
    <w:tmpl w:val="DF6CC61E"/>
    <w:lvl w:ilvl="0" w:tplc="80B05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176F1D"/>
    <w:multiLevelType w:val="hybridMultilevel"/>
    <w:tmpl w:val="B7E0A9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5"/>
  </w:num>
  <w:num w:numId="4">
    <w:abstractNumId w:val="22"/>
  </w:num>
  <w:num w:numId="5">
    <w:abstractNumId w:val="11"/>
  </w:num>
  <w:num w:numId="6">
    <w:abstractNumId w:val="13"/>
  </w:num>
  <w:num w:numId="7">
    <w:abstractNumId w:val="8"/>
  </w:num>
  <w:num w:numId="8">
    <w:abstractNumId w:val="0"/>
  </w:num>
  <w:num w:numId="9">
    <w:abstractNumId w:val="32"/>
  </w:num>
  <w:num w:numId="10">
    <w:abstractNumId w:val="28"/>
  </w:num>
  <w:num w:numId="11">
    <w:abstractNumId w:val="27"/>
  </w:num>
  <w:num w:numId="12">
    <w:abstractNumId w:val="26"/>
  </w:num>
  <w:num w:numId="13">
    <w:abstractNumId w:val="29"/>
  </w:num>
  <w:num w:numId="14">
    <w:abstractNumId w:val="9"/>
  </w:num>
  <w:num w:numId="15">
    <w:abstractNumId w:val="10"/>
  </w:num>
  <w:num w:numId="16">
    <w:abstractNumId w:val="34"/>
  </w:num>
  <w:num w:numId="17">
    <w:abstractNumId w:val="16"/>
  </w:num>
  <w:num w:numId="18">
    <w:abstractNumId w:val="7"/>
  </w:num>
  <w:num w:numId="19">
    <w:abstractNumId w:val="31"/>
  </w:num>
  <w:num w:numId="20">
    <w:abstractNumId w:val="5"/>
  </w:num>
  <w:num w:numId="21">
    <w:abstractNumId w:val="18"/>
  </w:num>
  <w:num w:numId="22">
    <w:abstractNumId w:val="33"/>
  </w:num>
  <w:num w:numId="23">
    <w:abstractNumId w:val="23"/>
  </w:num>
  <w:num w:numId="24">
    <w:abstractNumId w:val="4"/>
  </w:num>
  <w:num w:numId="25">
    <w:abstractNumId w:val="30"/>
  </w:num>
  <w:num w:numId="26">
    <w:abstractNumId w:val="24"/>
  </w:num>
  <w:num w:numId="27">
    <w:abstractNumId w:val="1"/>
  </w:num>
  <w:num w:numId="28">
    <w:abstractNumId w:val="20"/>
  </w:num>
  <w:num w:numId="29">
    <w:abstractNumId w:val="19"/>
  </w:num>
  <w:num w:numId="30">
    <w:abstractNumId w:val="15"/>
  </w:num>
  <w:num w:numId="31">
    <w:abstractNumId w:val="21"/>
  </w:num>
  <w:num w:numId="32">
    <w:abstractNumId w:val="12"/>
  </w:num>
  <w:num w:numId="33">
    <w:abstractNumId w:val="3"/>
  </w:num>
  <w:num w:numId="34">
    <w:abstractNumId w:val="2"/>
  </w:num>
  <w:num w:numId="3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0F0F"/>
    <w:rsid w:val="00004B0D"/>
    <w:rsid w:val="00004B8D"/>
    <w:rsid w:val="00006A86"/>
    <w:rsid w:val="00014C4C"/>
    <w:rsid w:val="00025DE5"/>
    <w:rsid w:val="0003210C"/>
    <w:rsid w:val="00033CAB"/>
    <w:rsid w:val="00037310"/>
    <w:rsid w:val="00040C85"/>
    <w:rsid w:val="00042D83"/>
    <w:rsid w:val="00043A2F"/>
    <w:rsid w:val="00051B79"/>
    <w:rsid w:val="00054E38"/>
    <w:rsid w:val="00056231"/>
    <w:rsid w:val="00062445"/>
    <w:rsid w:val="00071662"/>
    <w:rsid w:val="00075913"/>
    <w:rsid w:val="0008276B"/>
    <w:rsid w:val="0008356D"/>
    <w:rsid w:val="0008679C"/>
    <w:rsid w:val="00090774"/>
    <w:rsid w:val="00090E89"/>
    <w:rsid w:val="00091C23"/>
    <w:rsid w:val="000A1480"/>
    <w:rsid w:val="000B6843"/>
    <w:rsid w:val="000D005B"/>
    <w:rsid w:val="000D1016"/>
    <w:rsid w:val="000E3823"/>
    <w:rsid w:val="000F0577"/>
    <w:rsid w:val="000F2C7F"/>
    <w:rsid w:val="000F5EC4"/>
    <w:rsid w:val="000F67A8"/>
    <w:rsid w:val="000F708F"/>
    <w:rsid w:val="000F7C1E"/>
    <w:rsid w:val="001016B1"/>
    <w:rsid w:val="001038A8"/>
    <w:rsid w:val="00103D5B"/>
    <w:rsid w:val="001041C7"/>
    <w:rsid w:val="00106A73"/>
    <w:rsid w:val="00106CA5"/>
    <w:rsid w:val="001133CC"/>
    <w:rsid w:val="001150AF"/>
    <w:rsid w:val="00116138"/>
    <w:rsid w:val="001164B2"/>
    <w:rsid w:val="00116929"/>
    <w:rsid w:val="00121A75"/>
    <w:rsid w:val="001237AF"/>
    <w:rsid w:val="001277D3"/>
    <w:rsid w:val="0013264C"/>
    <w:rsid w:val="0014151B"/>
    <w:rsid w:val="00142DA4"/>
    <w:rsid w:val="00144A3E"/>
    <w:rsid w:val="00144A44"/>
    <w:rsid w:val="00145E50"/>
    <w:rsid w:val="001511AE"/>
    <w:rsid w:val="00153F45"/>
    <w:rsid w:val="00156666"/>
    <w:rsid w:val="00167DF4"/>
    <w:rsid w:val="001720A5"/>
    <w:rsid w:val="00172FD6"/>
    <w:rsid w:val="00175EF3"/>
    <w:rsid w:val="00180FD0"/>
    <w:rsid w:val="00186598"/>
    <w:rsid w:val="00186993"/>
    <w:rsid w:val="00190373"/>
    <w:rsid w:val="001A0934"/>
    <w:rsid w:val="001A46F6"/>
    <w:rsid w:val="001A6E30"/>
    <w:rsid w:val="001B183B"/>
    <w:rsid w:val="001C0E0A"/>
    <w:rsid w:val="001C324F"/>
    <w:rsid w:val="001C3ACF"/>
    <w:rsid w:val="001C6699"/>
    <w:rsid w:val="001C76F8"/>
    <w:rsid w:val="001D0241"/>
    <w:rsid w:val="001D40C0"/>
    <w:rsid w:val="001D5346"/>
    <w:rsid w:val="001D6BB1"/>
    <w:rsid w:val="001D6C97"/>
    <w:rsid w:val="001E43FA"/>
    <w:rsid w:val="001E50D2"/>
    <w:rsid w:val="001E62B6"/>
    <w:rsid w:val="001E7A2B"/>
    <w:rsid w:val="001E7E59"/>
    <w:rsid w:val="001F2826"/>
    <w:rsid w:val="001F2A99"/>
    <w:rsid w:val="001F3088"/>
    <w:rsid w:val="001F689D"/>
    <w:rsid w:val="002053C0"/>
    <w:rsid w:val="00207B11"/>
    <w:rsid w:val="0021561C"/>
    <w:rsid w:val="00225F82"/>
    <w:rsid w:val="002307E7"/>
    <w:rsid w:val="0023101E"/>
    <w:rsid w:val="00232C93"/>
    <w:rsid w:val="002335A0"/>
    <w:rsid w:val="002355F6"/>
    <w:rsid w:val="002413A7"/>
    <w:rsid w:val="00242270"/>
    <w:rsid w:val="00242F25"/>
    <w:rsid w:val="00243728"/>
    <w:rsid w:val="002439E0"/>
    <w:rsid w:val="002444C4"/>
    <w:rsid w:val="00246061"/>
    <w:rsid w:val="00252E85"/>
    <w:rsid w:val="002623A8"/>
    <w:rsid w:val="002631A5"/>
    <w:rsid w:val="00264575"/>
    <w:rsid w:val="002651B7"/>
    <w:rsid w:val="002733CC"/>
    <w:rsid w:val="002752D4"/>
    <w:rsid w:val="002816AD"/>
    <w:rsid w:val="00282CC7"/>
    <w:rsid w:val="00291B97"/>
    <w:rsid w:val="0029582B"/>
    <w:rsid w:val="002A0F80"/>
    <w:rsid w:val="002A3745"/>
    <w:rsid w:val="002A3BD9"/>
    <w:rsid w:val="002A3C97"/>
    <w:rsid w:val="002A469E"/>
    <w:rsid w:val="002A57A7"/>
    <w:rsid w:val="002B325B"/>
    <w:rsid w:val="002B5C23"/>
    <w:rsid w:val="002B76D2"/>
    <w:rsid w:val="002B7965"/>
    <w:rsid w:val="002C359A"/>
    <w:rsid w:val="002C3FD3"/>
    <w:rsid w:val="002C4ED1"/>
    <w:rsid w:val="002D1EA9"/>
    <w:rsid w:val="002D5608"/>
    <w:rsid w:val="002D7683"/>
    <w:rsid w:val="002E6E1D"/>
    <w:rsid w:val="002E7AFA"/>
    <w:rsid w:val="002E7F4E"/>
    <w:rsid w:val="002F20E2"/>
    <w:rsid w:val="002F2736"/>
    <w:rsid w:val="002F53B8"/>
    <w:rsid w:val="002F7CB0"/>
    <w:rsid w:val="00310570"/>
    <w:rsid w:val="00311045"/>
    <w:rsid w:val="00313ADB"/>
    <w:rsid w:val="00320203"/>
    <w:rsid w:val="00321213"/>
    <w:rsid w:val="00321271"/>
    <w:rsid w:val="00321FF4"/>
    <w:rsid w:val="003262F0"/>
    <w:rsid w:val="003318E3"/>
    <w:rsid w:val="00341CCD"/>
    <w:rsid w:val="00342679"/>
    <w:rsid w:val="003433CE"/>
    <w:rsid w:val="00345F47"/>
    <w:rsid w:val="003467D1"/>
    <w:rsid w:val="00354020"/>
    <w:rsid w:val="00355F8A"/>
    <w:rsid w:val="00356762"/>
    <w:rsid w:val="003575F7"/>
    <w:rsid w:val="00357E39"/>
    <w:rsid w:val="003651E2"/>
    <w:rsid w:val="003672D8"/>
    <w:rsid w:val="00373F7F"/>
    <w:rsid w:val="00381869"/>
    <w:rsid w:val="00382535"/>
    <w:rsid w:val="00385F1D"/>
    <w:rsid w:val="00397223"/>
    <w:rsid w:val="003A22F6"/>
    <w:rsid w:val="003A2761"/>
    <w:rsid w:val="003A33F8"/>
    <w:rsid w:val="003A4554"/>
    <w:rsid w:val="003A45B2"/>
    <w:rsid w:val="003A5DE9"/>
    <w:rsid w:val="003B469F"/>
    <w:rsid w:val="003C4982"/>
    <w:rsid w:val="003D1B50"/>
    <w:rsid w:val="003D1FBB"/>
    <w:rsid w:val="003D27D2"/>
    <w:rsid w:val="003E0642"/>
    <w:rsid w:val="003E090F"/>
    <w:rsid w:val="003E1CF4"/>
    <w:rsid w:val="003E1FC1"/>
    <w:rsid w:val="003E22B5"/>
    <w:rsid w:val="003E2368"/>
    <w:rsid w:val="003E3CAB"/>
    <w:rsid w:val="003F0960"/>
    <w:rsid w:val="003F2259"/>
    <w:rsid w:val="003F3456"/>
    <w:rsid w:val="003F6577"/>
    <w:rsid w:val="003F69B0"/>
    <w:rsid w:val="004001A5"/>
    <w:rsid w:val="00401FB3"/>
    <w:rsid w:val="004203F0"/>
    <w:rsid w:val="00430C5A"/>
    <w:rsid w:val="004329D1"/>
    <w:rsid w:val="00434D7E"/>
    <w:rsid w:val="0043552A"/>
    <w:rsid w:val="00436C33"/>
    <w:rsid w:val="00441F14"/>
    <w:rsid w:val="00444A64"/>
    <w:rsid w:val="00447A3C"/>
    <w:rsid w:val="0045419C"/>
    <w:rsid w:val="00454F5B"/>
    <w:rsid w:val="00456A4C"/>
    <w:rsid w:val="0046632E"/>
    <w:rsid w:val="004732BD"/>
    <w:rsid w:val="00475B8F"/>
    <w:rsid w:val="00480412"/>
    <w:rsid w:val="0048228C"/>
    <w:rsid w:val="00485746"/>
    <w:rsid w:val="00487726"/>
    <w:rsid w:val="00487D8D"/>
    <w:rsid w:val="00490279"/>
    <w:rsid w:val="00490452"/>
    <w:rsid w:val="00491821"/>
    <w:rsid w:val="004919E8"/>
    <w:rsid w:val="00495D66"/>
    <w:rsid w:val="004A1A46"/>
    <w:rsid w:val="004A1B74"/>
    <w:rsid w:val="004A7BBA"/>
    <w:rsid w:val="004B1AAE"/>
    <w:rsid w:val="004B32B7"/>
    <w:rsid w:val="004C1BA7"/>
    <w:rsid w:val="004C7568"/>
    <w:rsid w:val="004D0754"/>
    <w:rsid w:val="004D1682"/>
    <w:rsid w:val="004D2095"/>
    <w:rsid w:val="004D7CC9"/>
    <w:rsid w:val="004E4740"/>
    <w:rsid w:val="004E56B2"/>
    <w:rsid w:val="004F5EBD"/>
    <w:rsid w:val="004F6429"/>
    <w:rsid w:val="005010E7"/>
    <w:rsid w:val="0050708D"/>
    <w:rsid w:val="0051013C"/>
    <w:rsid w:val="00510CA8"/>
    <w:rsid w:val="00511183"/>
    <w:rsid w:val="0051156C"/>
    <w:rsid w:val="00516663"/>
    <w:rsid w:val="0052323A"/>
    <w:rsid w:val="0052360C"/>
    <w:rsid w:val="00532310"/>
    <w:rsid w:val="0053465F"/>
    <w:rsid w:val="00535B32"/>
    <w:rsid w:val="00536A9F"/>
    <w:rsid w:val="00536C27"/>
    <w:rsid w:val="00536D6A"/>
    <w:rsid w:val="00545CA9"/>
    <w:rsid w:val="0054636E"/>
    <w:rsid w:val="005468A6"/>
    <w:rsid w:val="005508D8"/>
    <w:rsid w:val="005537C8"/>
    <w:rsid w:val="00554536"/>
    <w:rsid w:val="00554F54"/>
    <w:rsid w:val="00556C7D"/>
    <w:rsid w:val="00556F85"/>
    <w:rsid w:val="00562AA7"/>
    <w:rsid w:val="00563422"/>
    <w:rsid w:val="00571002"/>
    <w:rsid w:val="005725F0"/>
    <w:rsid w:val="00575816"/>
    <w:rsid w:val="005814B3"/>
    <w:rsid w:val="0058292B"/>
    <w:rsid w:val="00583CF8"/>
    <w:rsid w:val="005917D3"/>
    <w:rsid w:val="005922FF"/>
    <w:rsid w:val="00594E25"/>
    <w:rsid w:val="005A2E96"/>
    <w:rsid w:val="005A6879"/>
    <w:rsid w:val="005B1C04"/>
    <w:rsid w:val="005B2398"/>
    <w:rsid w:val="005B3A4B"/>
    <w:rsid w:val="005C6C4D"/>
    <w:rsid w:val="005D22D9"/>
    <w:rsid w:val="005E40EF"/>
    <w:rsid w:val="005E4942"/>
    <w:rsid w:val="005F0A7B"/>
    <w:rsid w:val="005F0BD7"/>
    <w:rsid w:val="005F2CE4"/>
    <w:rsid w:val="006041D2"/>
    <w:rsid w:val="006045BF"/>
    <w:rsid w:val="00605778"/>
    <w:rsid w:val="00613520"/>
    <w:rsid w:val="00620864"/>
    <w:rsid w:val="006249F7"/>
    <w:rsid w:val="00625EAB"/>
    <w:rsid w:val="006324AE"/>
    <w:rsid w:val="006350B9"/>
    <w:rsid w:val="00651741"/>
    <w:rsid w:val="00652E8D"/>
    <w:rsid w:val="0065380F"/>
    <w:rsid w:val="006546E8"/>
    <w:rsid w:val="006560A0"/>
    <w:rsid w:val="006566C8"/>
    <w:rsid w:val="00657107"/>
    <w:rsid w:val="00661A9B"/>
    <w:rsid w:val="00662C70"/>
    <w:rsid w:val="0066303F"/>
    <w:rsid w:val="00663DBC"/>
    <w:rsid w:val="00665FC2"/>
    <w:rsid w:val="006668AF"/>
    <w:rsid w:val="00667B75"/>
    <w:rsid w:val="00667EF5"/>
    <w:rsid w:val="006760C0"/>
    <w:rsid w:val="00676B75"/>
    <w:rsid w:val="0068030E"/>
    <w:rsid w:val="00681900"/>
    <w:rsid w:val="00683F25"/>
    <w:rsid w:val="00697983"/>
    <w:rsid w:val="006A0A02"/>
    <w:rsid w:val="006A75FB"/>
    <w:rsid w:val="006B05A4"/>
    <w:rsid w:val="006B1688"/>
    <w:rsid w:val="006B43FE"/>
    <w:rsid w:val="006B4975"/>
    <w:rsid w:val="006C1A25"/>
    <w:rsid w:val="006C3F65"/>
    <w:rsid w:val="006C4787"/>
    <w:rsid w:val="006C5ED0"/>
    <w:rsid w:val="006C7603"/>
    <w:rsid w:val="006D0013"/>
    <w:rsid w:val="006D29A1"/>
    <w:rsid w:val="006D4943"/>
    <w:rsid w:val="006D77C1"/>
    <w:rsid w:val="006E1BFB"/>
    <w:rsid w:val="006E2846"/>
    <w:rsid w:val="006E28BF"/>
    <w:rsid w:val="006E43BC"/>
    <w:rsid w:val="006E6E9E"/>
    <w:rsid w:val="006F2A57"/>
    <w:rsid w:val="006F5402"/>
    <w:rsid w:val="006F562A"/>
    <w:rsid w:val="006F726C"/>
    <w:rsid w:val="00706405"/>
    <w:rsid w:val="00712FEF"/>
    <w:rsid w:val="00715654"/>
    <w:rsid w:val="00717282"/>
    <w:rsid w:val="007203F1"/>
    <w:rsid w:val="0073050B"/>
    <w:rsid w:val="00742054"/>
    <w:rsid w:val="00742AFC"/>
    <w:rsid w:val="0074505B"/>
    <w:rsid w:val="00745D43"/>
    <w:rsid w:val="007540EE"/>
    <w:rsid w:val="00754285"/>
    <w:rsid w:val="007578F5"/>
    <w:rsid w:val="00762000"/>
    <w:rsid w:val="007629A2"/>
    <w:rsid w:val="007648BC"/>
    <w:rsid w:val="0077481A"/>
    <w:rsid w:val="007757C8"/>
    <w:rsid w:val="00775DFA"/>
    <w:rsid w:val="0077621E"/>
    <w:rsid w:val="00782FDE"/>
    <w:rsid w:val="00785604"/>
    <w:rsid w:val="00786711"/>
    <w:rsid w:val="0078754E"/>
    <w:rsid w:val="007879EC"/>
    <w:rsid w:val="00790091"/>
    <w:rsid w:val="00793E8F"/>
    <w:rsid w:val="0079764C"/>
    <w:rsid w:val="007979E7"/>
    <w:rsid w:val="007A04DB"/>
    <w:rsid w:val="007A4279"/>
    <w:rsid w:val="007B16CC"/>
    <w:rsid w:val="007B198B"/>
    <w:rsid w:val="007B261E"/>
    <w:rsid w:val="007C417D"/>
    <w:rsid w:val="007C4AEB"/>
    <w:rsid w:val="007D177F"/>
    <w:rsid w:val="007D4692"/>
    <w:rsid w:val="007D66B3"/>
    <w:rsid w:val="007E06B8"/>
    <w:rsid w:val="007E5E8C"/>
    <w:rsid w:val="007F44D7"/>
    <w:rsid w:val="007F4B40"/>
    <w:rsid w:val="007F68ED"/>
    <w:rsid w:val="007F7ECE"/>
    <w:rsid w:val="008003A3"/>
    <w:rsid w:val="00800E54"/>
    <w:rsid w:val="00800EDE"/>
    <w:rsid w:val="008011E5"/>
    <w:rsid w:val="008017B4"/>
    <w:rsid w:val="00802A50"/>
    <w:rsid w:val="00803AB1"/>
    <w:rsid w:val="008109FA"/>
    <w:rsid w:val="008111B8"/>
    <w:rsid w:val="0081143B"/>
    <w:rsid w:val="00817046"/>
    <w:rsid w:val="0082023B"/>
    <w:rsid w:val="0082582B"/>
    <w:rsid w:val="00826FEC"/>
    <w:rsid w:val="00833A91"/>
    <w:rsid w:val="00836181"/>
    <w:rsid w:val="00837383"/>
    <w:rsid w:val="0084017A"/>
    <w:rsid w:val="00847462"/>
    <w:rsid w:val="0085638A"/>
    <w:rsid w:val="00861E98"/>
    <w:rsid w:val="008629BB"/>
    <w:rsid w:val="008637BE"/>
    <w:rsid w:val="00864C93"/>
    <w:rsid w:val="00864D7E"/>
    <w:rsid w:val="00866C61"/>
    <w:rsid w:val="00867200"/>
    <w:rsid w:val="00872858"/>
    <w:rsid w:val="00873544"/>
    <w:rsid w:val="0087735F"/>
    <w:rsid w:val="008776B5"/>
    <w:rsid w:val="008802D5"/>
    <w:rsid w:val="008813F8"/>
    <w:rsid w:val="00883F19"/>
    <w:rsid w:val="00885ACA"/>
    <w:rsid w:val="008872CC"/>
    <w:rsid w:val="00890F90"/>
    <w:rsid w:val="00891D1A"/>
    <w:rsid w:val="00894ECD"/>
    <w:rsid w:val="0089631C"/>
    <w:rsid w:val="00896C32"/>
    <w:rsid w:val="008A4A6C"/>
    <w:rsid w:val="008B5BA4"/>
    <w:rsid w:val="008B69C4"/>
    <w:rsid w:val="008B70D5"/>
    <w:rsid w:val="008C1D0F"/>
    <w:rsid w:val="008C1D74"/>
    <w:rsid w:val="008C2B55"/>
    <w:rsid w:val="008C324B"/>
    <w:rsid w:val="008D09E8"/>
    <w:rsid w:val="008D1D46"/>
    <w:rsid w:val="008E2513"/>
    <w:rsid w:val="008E6199"/>
    <w:rsid w:val="008F2362"/>
    <w:rsid w:val="008F241F"/>
    <w:rsid w:val="008F5D98"/>
    <w:rsid w:val="008F6220"/>
    <w:rsid w:val="008F6A46"/>
    <w:rsid w:val="009013CB"/>
    <w:rsid w:val="00905952"/>
    <w:rsid w:val="009079DB"/>
    <w:rsid w:val="00911613"/>
    <w:rsid w:val="00911DAE"/>
    <w:rsid w:val="00912C37"/>
    <w:rsid w:val="00912D44"/>
    <w:rsid w:val="00915D87"/>
    <w:rsid w:val="009164DF"/>
    <w:rsid w:val="00916E6D"/>
    <w:rsid w:val="00922FF8"/>
    <w:rsid w:val="00923364"/>
    <w:rsid w:val="0092613A"/>
    <w:rsid w:val="009332BA"/>
    <w:rsid w:val="0093442E"/>
    <w:rsid w:val="00935BA2"/>
    <w:rsid w:val="00936336"/>
    <w:rsid w:val="00937188"/>
    <w:rsid w:val="009418FB"/>
    <w:rsid w:val="0094376D"/>
    <w:rsid w:val="009477E1"/>
    <w:rsid w:val="009518B7"/>
    <w:rsid w:val="00952853"/>
    <w:rsid w:val="00963CA0"/>
    <w:rsid w:val="00964DE4"/>
    <w:rsid w:val="00972864"/>
    <w:rsid w:val="00977069"/>
    <w:rsid w:val="009830F6"/>
    <w:rsid w:val="00995145"/>
    <w:rsid w:val="00995F3A"/>
    <w:rsid w:val="009A1190"/>
    <w:rsid w:val="009A2F8D"/>
    <w:rsid w:val="009A3375"/>
    <w:rsid w:val="009A3395"/>
    <w:rsid w:val="009A6601"/>
    <w:rsid w:val="009B0295"/>
    <w:rsid w:val="009B382B"/>
    <w:rsid w:val="009C4225"/>
    <w:rsid w:val="009C7864"/>
    <w:rsid w:val="009D2927"/>
    <w:rsid w:val="009D7775"/>
    <w:rsid w:val="009E16CB"/>
    <w:rsid w:val="009E3868"/>
    <w:rsid w:val="009F04F1"/>
    <w:rsid w:val="009F611F"/>
    <w:rsid w:val="009F67BD"/>
    <w:rsid w:val="009F7E26"/>
    <w:rsid w:val="00A007EF"/>
    <w:rsid w:val="00A020F4"/>
    <w:rsid w:val="00A026DB"/>
    <w:rsid w:val="00A039B4"/>
    <w:rsid w:val="00A055D3"/>
    <w:rsid w:val="00A10EC5"/>
    <w:rsid w:val="00A15680"/>
    <w:rsid w:val="00A15A57"/>
    <w:rsid w:val="00A172A0"/>
    <w:rsid w:val="00A17DDB"/>
    <w:rsid w:val="00A21D52"/>
    <w:rsid w:val="00A24498"/>
    <w:rsid w:val="00A31D41"/>
    <w:rsid w:val="00A323F0"/>
    <w:rsid w:val="00A33014"/>
    <w:rsid w:val="00A35B40"/>
    <w:rsid w:val="00A363AB"/>
    <w:rsid w:val="00A37590"/>
    <w:rsid w:val="00A403F9"/>
    <w:rsid w:val="00A4360A"/>
    <w:rsid w:val="00A448AE"/>
    <w:rsid w:val="00A453FF"/>
    <w:rsid w:val="00A60909"/>
    <w:rsid w:val="00A661DA"/>
    <w:rsid w:val="00A674BF"/>
    <w:rsid w:val="00A708BD"/>
    <w:rsid w:val="00A74D13"/>
    <w:rsid w:val="00A80E76"/>
    <w:rsid w:val="00A825DA"/>
    <w:rsid w:val="00A82827"/>
    <w:rsid w:val="00A82ABC"/>
    <w:rsid w:val="00A86EA9"/>
    <w:rsid w:val="00A90A1F"/>
    <w:rsid w:val="00A951C8"/>
    <w:rsid w:val="00AA1988"/>
    <w:rsid w:val="00AA34BA"/>
    <w:rsid w:val="00AA702F"/>
    <w:rsid w:val="00AA711C"/>
    <w:rsid w:val="00AA7B1E"/>
    <w:rsid w:val="00AA7CDD"/>
    <w:rsid w:val="00AB11E7"/>
    <w:rsid w:val="00AB3451"/>
    <w:rsid w:val="00AB3FCB"/>
    <w:rsid w:val="00AB5728"/>
    <w:rsid w:val="00AD07EF"/>
    <w:rsid w:val="00AD69F3"/>
    <w:rsid w:val="00AD6A73"/>
    <w:rsid w:val="00AD6F43"/>
    <w:rsid w:val="00AE04B4"/>
    <w:rsid w:val="00AE3A52"/>
    <w:rsid w:val="00AE7AB8"/>
    <w:rsid w:val="00AE7FED"/>
    <w:rsid w:val="00AF72DA"/>
    <w:rsid w:val="00AF7E54"/>
    <w:rsid w:val="00B06702"/>
    <w:rsid w:val="00B151C3"/>
    <w:rsid w:val="00B17F73"/>
    <w:rsid w:val="00B23374"/>
    <w:rsid w:val="00B23928"/>
    <w:rsid w:val="00B242EA"/>
    <w:rsid w:val="00B3224A"/>
    <w:rsid w:val="00B322CC"/>
    <w:rsid w:val="00B434FF"/>
    <w:rsid w:val="00B45BDE"/>
    <w:rsid w:val="00B4607D"/>
    <w:rsid w:val="00B46BCF"/>
    <w:rsid w:val="00B519D0"/>
    <w:rsid w:val="00B55C53"/>
    <w:rsid w:val="00B62405"/>
    <w:rsid w:val="00B67628"/>
    <w:rsid w:val="00B70117"/>
    <w:rsid w:val="00B720E4"/>
    <w:rsid w:val="00B720FA"/>
    <w:rsid w:val="00B77E89"/>
    <w:rsid w:val="00B80D34"/>
    <w:rsid w:val="00B82F64"/>
    <w:rsid w:val="00B902A6"/>
    <w:rsid w:val="00B92571"/>
    <w:rsid w:val="00B9634F"/>
    <w:rsid w:val="00BA22B5"/>
    <w:rsid w:val="00BA2D34"/>
    <w:rsid w:val="00BA3973"/>
    <w:rsid w:val="00BA45FD"/>
    <w:rsid w:val="00BA5F9B"/>
    <w:rsid w:val="00BA690D"/>
    <w:rsid w:val="00BA6928"/>
    <w:rsid w:val="00BB1F3D"/>
    <w:rsid w:val="00BB2EF3"/>
    <w:rsid w:val="00BB3172"/>
    <w:rsid w:val="00BB40B2"/>
    <w:rsid w:val="00BB4A9D"/>
    <w:rsid w:val="00BC2353"/>
    <w:rsid w:val="00BC4E16"/>
    <w:rsid w:val="00BD581E"/>
    <w:rsid w:val="00BD607D"/>
    <w:rsid w:val="00BD793E"/>
    <w:rsid w:val="00BD7AF3"/>
    <w:rsid w:val="00BD7D83"/>
    <w:rsid w:val="00BE059C"/>
    <w:rsid w:val="00BE05DA"/>
    <w:rsid w:val="00BF2C38"/>
    <w:rsid w:val="00BF3680"/>
    <w:rsid w:val="00C020F0"/>
    <w:rsid w:val="00C0549D"/>
    <w:rsid w:val="00C05691"/>
    <w:rsid w:val="00C140E5"/>
    <w:rsid w:val="00C15DE6"/>
    <w:rsid w:val="00C2423E"/>
    <w:rsid w:val="00C26AE3"/>
    <w:rsid w:val="00C349F5"/>
    <w:rsid w:val="00C34D0B"/>
    <w:rsid w:val="00C34E19"/>
    <w:rsid w:val="00C37E05"/>
    <w:rsid w:val="00C400D3"/>
    <w:rsid w:val="00C4033F"/>
    <w:rsid w:val="00C40CA7"/>
    <w:rsid w:val="00C42C55"/>
    <w:rsid w:val="00C46F97"/>
    <w:rsid w:val="00C52C6B"/>
    <w:rsid w:val="00C53018"/>
    <w:rsid w:val="00C539D0"/>
    <w:rsid w:val="00C637F4"/>
    <w:rsid w:val="00C644E9"/>
    <w:rsid w:val="00C64D27"/>
    <w:rsid w:val="00C66D70"/>
    <w:rsid w:val="00C67E33"/>
    <w:rsid w:val="00C71338"/>
    <w:rsid w:val="00C72C35"/>
    <w:rsid w:val="00C826C9"/>
    <w:rsid w:val="00C853EB"/>
    <w:rsid w:val="00C85AC6"/>
    <w:rsid w:val="00C85F29"/>
    <w:rsid w:val="00C9054B"/>
    <w:rsid w:val="00C95E09"/>
    <w:rsid w:val="00C96785"/>
    <w:rsid w:val="00CA003F"/>
    <w:rsid w:val="00CA1C01"/>
    <w:rsid w:val="00CA1DA9"/>
    <w:rsid w:val="00CA3D5C"/>
    <w:rsid w:val="00CA5608"/>
    <w:rsid w:val="00CB22E1"/>
    <w:rsid w:val="00CC7130"/>
    <w:rsid w:val="00CC728C"/>
    <w:rsid w:val="00CC786E"/>
    <w:rsid w:val="00CE0381"/>
    <w:rsid w:val="00CE1148"/>
    <w:rsid w:val="00CE171C"/>
    <w:rsid w:val="00CE26A1"/>
    <w:rsid w:val="00CF1766"/>
    <w:rsid w:val="00CF30B8"/>
    <w:rsid w:val="00CF49EA"/>
    <w:rsid w:val="00D051E3"/>
    <w:rsid w:val="00D06DF1"/>
    <w:rsid w:val="00D123EB"/>
    <w:rsid w:val="00D133F4"/>
    <w:rsid w:val="00D15261"/>
    <w:rsid w:val="00D1617D"/>
    <w:rsid w:val="00D17532"/>
    <w:rsid w:val="00D22ADF"/>
    <w:rsid w:val="00D24FE7"/>
    <w:rsid w:val="00D26648"/>
    <w:rsid w:val="00D30B3A"/>
    <w:rsid w:val="00D34F27"/>
    <w:rsid w:val="00D35561"/>
    <w:rsid w:val="00D36C6A"/>
    <w:rsid w:val="00D37354"/>
    <w:rsid w:val="00D37646"/>
    <w:rsid w:val="00D40352"/>
    <w:rsid w:val="00D442D0"/>
    <w:rsid w:val="00D515C5"/>
    <w:rsid w:val="00D52C6A"/>
    <w:rsid w:val="00D5388D"/>
    <w:rsid w:val="00D538B7"/>
    <w:rsid w:val="00D53D7E"/>
    <w:rsid w:val="00D67FE7"/>
    <w:rsid w:val="00D9460A"/>
    <w:rsid w:val="00DA055D"/>
    <w:rsid w:val="00DA1F05"/>
    <w:rsid w:val="00DA5254"/>
    <w:rsid w:val="00DA62C4"/>
    <w:rsid w:val="00DA6935"/>
    <w:rsid w:val="00DB25EB"/>
    <w:rsid w:val="00DB3A6F"/>
    <w:rsid w:val="00DB3FFE"/>
    <w:rsid w:val="00DC21EF"/>
    <w:rsid w:val="00DC54E4"/>
    <w:rsid w:val="00DD07BD"/>
    <w:rsid w:val="00DD3A37"/>
    <w:rsid w:val="00DD591A"/>
    <w:rsid w:val="00DD7639"/>
    <w:rsid w:val="00DE3052"/>
    <w:rsid w:val="00DE4065"/>
    <w:rsid w:val="00DF3C1D"/>
    <w:rsid w:val="00DF5957"/>
    <w:rsid w:val="00DF6E6A"/>
    <w:rsid w:val="00E00124"/>
    <w:rsid w:val="00E02FC8"/>
    <w:rsid w:val="00E0425A"/>
    <w:rsid w:val="00E042DA"/>
    <w:rsid w:val="00E04760"/>
    <w:rsid w:val="00E07A12"/>
    <w:rsid w:val="00E133F5"/>
    <w:rsid w:val="00E148ED"/>
    <w:rsid w:val="00E2340E"/>
    <w:rsid w:val="00E33BEF"/>
    <w:rsid w:val="00E34E82"/>
    <w:rsid w:val="00E43105"/>
    <w:rsid w:val="00E475F2"/>
    <w:rsid w:val="00E50398"/>
    <w:rsid w:val="00E5134C"/>
    <w:rsid w:val="00E52BE0"/>
    <w:rsid w:val="00E56E6D"/>
    <w:rsid w:val="00E664C0"/>
    <w:rsid w:val="00E72E7A"/>
    <w:rsid w:val="00E7408C"/>
    <w:rsid w:val="00E83F4B"/>
    <w:rsid w:val="00E9487F"/>
    <w:rsid w:val="00E9613D"/>
    <w:rsid w:val="00EA0D51"/>
    <w:rsid w:val="00EA0FC1"/>
    <w:rsid w:val="00EA2A68"/>
    <w:rsid w:val="00EB0947"/>
    <w:rsid w:val="00EB2788"/>
    <w:rsid w:val="00EB3705"/>
    <w:rsid w:val="00EC26A2"/>
    <w:rsid w:val="00ED3E8E"/>
    <w:rsid w:val="00EE772D"/>
    <w:rsid w:val="00EF438A"/>
    <w:rsid w:val="00EF7B85"/>
    <w:rsid w:val="00F03B1A"/>
    <w:rsid w:val="00F05B6B"/>
    <w:rsid w:val="00F05DE6"/>
    <w:rsid w:val="00F11F1F"/>
    <w:rsid w:val="00F144D4"/>
    <w:rsid w:val="00F14B83"/>
    <w:rsid w:val="00F17139"/>
    <w:rsid w:val="00F217D9"/>
    <w:rsid w:val="00F25011"/>
    <w:rsid w:val="00F26577"/>
    <w:rsid w:val="00F2669D"/>
    <w:rsid w:val="00F271A9"/>
    <w:rsid w:val="00F30333"/>
    <w:rsid w:val="00F3159A"/>
    <w:rsid w:val="00F3420C"/>
    <w:rsid w:val="00F409AD"/>
    <w:rsid w:val="00F40EF6"/>
    <w:rsid w:val="00F4666E"/>
    <w:rsid w:val="00F47494"/>
    <w:rsid w:val="00F51557"/>
    <w:rsid w:val="00F52608"/>
    <w:rsid w:val="00F53F4B"/>
    <w:rsid w:val="00F557BF"/>
    <w:rsid w:val="00F558AE"/>
    <w:rsid w:val="00F574C7"/>
    <w:rsid w:val="00F61A2F"/>
    <w:rsid w:val="00F6531B"/>
    <w:rsid w:val="00F6598D"/>
    <w:rsid w:val="00F66059"/>
    <w:rsid w:val="00F66764"/>
    <w:rsid w:val="00F674E3"/>
    <w:rsid w:val="00F74B77"/>
    <w:rsid w:val="00F8111F"/>
    <w:rsid w:val="00F843EA"/>
    <w:rsid w:val="00F870EB"/>
    <w:rsid w:val="00F87A2A"/>
    <w:rsid w:val="00F95539"/>
    <w:rsid w:val="00F957E5"/>
    <w:rsid w:val="00F97851"/>
    <w:rsid w:val="00FA2D55"/>
    <w:rsid w:val="00FB08A2"/>
    <w:rsid w:val="00FB16FD"/>
    <w:rsid w:val="00FB4E1E"/>
    <w:rsid w:val="00FC1C84"/>
    <w:rsid w:val="00FC27B4"/>
    <w:rsid w:val="00FC4034"/>
    <w:rsid w:val="00FC4BD7"/>
    <w:rsid w:val="00FD14E7"/>
    <w:rsid w:val="00FD427A"/>
    <w:rsid w:val="00FD5AFC"/>
    <w:rsid w:val="00FE0BF7"/>
    <w:rsid w:val="00FE5772"/>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6C760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L"/>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uiPriority w:val="9"/>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qFormat/>
    <w:rsid w:val="00180FD0"/>
    <w:rPr>
      <w:rFonts w:ascii="Calibri" w:eastAsia="Calibri" w:hAnsi="Calibri" w:cs="Times New Roman"/>
      <w:lang w:val="sq-AL"/>
    </w:rPr>
  </w:style>
  <w:style w:type="paragraph" w:styleId="NoSpacing">
    <w:name w:val="No Spacing"/>
    <w:link w:val="NoSpacingChar"/>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 w:type="table" w:styleId="GridTable4-Accent6">
    <w:name w:val="Grid Table 4 Accent 6"/>
    <w:basedOn w:val="TableNormal"/>
    <w:uiPriority w:val="49"/>
    <w:rsid w:val="00E33BEF"/>
    <w:pPr>
      <w:spacing w:after="0" w:line="240" w:lineRule="auto"/>
    </w:pPr>
    <w:rPr>
      <w:lang w:val="sq-AL"/>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6C7603"/>
    <w:rPr>
      <w:rFonts w:asciiTheme="majorHAnsi" w:eastAsiaTheme="majorEastAsia" w:hAnsiTheme="majorHAnsi" w:cstheme="majorBidi"/>
      <w:i/>
      <w:iCs/>
      <w:color w:val="365F91" w:themeColor="accent1" w:themeShade="BF"/>
      <w:lang w:val="sq-AL"/>
    </w:rPr>
  </w:style>
  <w:style w:type="table" w:styleId="TableGrid">
    <w:name w:val="Table Grid"/>
    <w:basedOn w:val="TableNormal"/>
    <w:uiPriority w:val="39"/>
    <w:rsid w:val="00B23928"/>
    <w:pPr>
      <w:spacing w:after="22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F708F"/>
    <w:rPr>
      <w:i/>
      <w:iCs/>
    </w:rPr>
  </w:style>
  <w:style w:type="table" w:styleId="PlainTable1">
    <w:name w:val="Plain Table 1"/>
    <w:basedOn w:val="TableNormal"/>
    <w:uiPriority w:val="41"/>
    <w:rsid w:val="007D177F"/>
    <w:pPr>
      <w:spacing w:after="0" w:line="240" w:lineRule="auto"/>
    </w:pPr>
    <w:rPr>
      <w:lang w:val="sq-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8B70D5"/>
    <w:pPr>
      <w:widowControl w:val="0"/>
      <w:autoSpaceDE w:val="0"/>
      <w:autoSpaceDN w:val="0"/>
    </w:pPr>
    <w:rPr>
      <w:sz w:val="22"/>
      <w:szCs w:val="22"/>
      <w:lang w:val="en-US" w:eastAsia="en-US"/>
    </w:rPr>
  </w:style>
  <w:style w:type="character" w:customStyle="1" w:styleId="NoSpacingChar">
    <w:name w:val="No Spacing Char"/>
    <w:basedOn w:val="DefaultParagraphFont"/>
    <w:link w:val="NoSpacing"/>
    <w:uiPriority w:val="1"/>
    <w:rsid w:val="004A1A46"/>
    <w:rPr>
      <w:rFonts w:ascii="Calibri" w:eastAsia="Times New Roman"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161">
      <w:bodyDiv w:val="1"/>
      <w:marLeft w:val="0"/>
      <w:marRight w:val="0"/>
      <w:marTop w:val="0"/>
      <w:marBottom w:val="0"/>
      <w:divBdr>
        <w:top w:val="none" w:sz="0" w:space="0" w:color="auto"/>
        <w:left w:val="none" w:sz="0" w:space="0" w:color="auto"/>
        <w:bottom w:val="none" w:sz="0" w:space="0" w:color="auto"/>
        <w:right w:val="none" w:sz="0" w:space="0" w:color="auto"/>
      </w:divBdr>
    </w:div>
    <w:div w:id="68815593">
      <w:bodyDiv w:val="1"/>
      <w:marLeft w:val="0"/>
      <w:marRight w:val="0"/>
      <w:marTop w:val="0"/>
      <w:marBottom w:val="0"/>
      <w:divBdr>
        <w:top w:val="none" w:sz="0" w:space="0" w:color="auto"/>
        <w:left w:val="none" w:sz="0" w:space="0" w:color="auto"/>
        <w:bottom w:val="none" w:sz="0" w:space="0" w:color="auto"/>
        <w:right w:val="none" w:sz="0" w:space="0" w:color="auto"/>
      </w:divBdr>
    </w:div>
    <w:div w:id="76757916">
      <w:bodyDiv w:val="1"/>
      <w:marLeft w:val="0"/>
      <w:marRight w:val="0"/>
      <w:marTop w:val="0"/>
      <w:marBottom w:val="0"/>
      <w:divBdr>
        <w:top w:val="none" w:sz="0" w:space="0" w:color="auto"/>
        <w:left w:val="none" w:sz="0" w:space="0" w:color="auto"/>
        <w:bottom w:val="none" w:sz="0" w:space="0" w:color="auto"/>
        <w:right w:val="none" w:sz="0" w:space="0" w:color="auto"/>
      </w:divBdr>
    </w:div>
    <w:div w:id="198126428">
      <w:bodyDiv w:val="1"/>
      <w:marLeft w:val="0"/>
      <w:marRight w:val="0"/>
      <w:marTop w:val="0"/>
      <w:marBottom w:val="0"/>
      <w:divBdr>
        <w:top w:val="none" w:sz="0" w:space="0" w:color="auto"/>
        <w:left w:val="none" w:sz="0" w:space="0" w:color="auto"/>
        <w:bottom w:val="none" w:sz="0" w:space="0" w:color="auto"/>
        <w:right w:val="none" w:sz="0" w:space="0" w:color="auto"/>
      </w:divBdr>
    </w:div>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357586404">
      <w:bodyDiv w:val="1"/>
      <w:marLeft w:val="0"/>
      <w:marRight w:val="0"/>
      <w:marTop w:val="0"/>
      <w:marBottom w:val="0"/>
      <w:divBdr>
        <w:top w:val="none" w:sz="0" w:space="0" w:color="auto"/>
        <w:left w:val="none" w:sz="0" w:space="0" w:color="auto"/>
        <w:bottom w:val="none" w:sz="0" w:space="0" w:color="auto"/>
        <w:right w:val="none" w:sz="0" w:space="0" w:color="auto"/>
      </w:divBdr>
    </w:div>
    <w:div w:id="433283328">
      <w:bodyDiv w:val="1"/>
      <w:marLeft w:val="0"/>
      <w:marRight w:val="0"/>
      <w:marTop w:val="0"/>
      <w:marBottom w:val="0"/>
      <w:divBdr>
        <w:top w:val="none" w:sz="0" w:space="0" w:color="auto"/>
        <w:left w:val="none" w:sz="0" w:space="0" w:color="auto"/>
        <w:bottom w:val="none" w:sz="0" w:space="0" w:color="auto"/>
        <w:right w:val="none" w:sz="0" w:space="0" w:color="auto"/>
      </w:divBdr>
    </w:div>
    <w:div w:id="544374387">
      <w:bodyDiv w:val="1"/>
      <w:marLeft w:val="0"/>
      <w:marRight w:val="0"/>
      <w:marTop w:val="0"/>
      <w:marBottom w:val="0"/>
      <w:divBdr>
        <w:top w:val="none" w:sz="0" w:space="0" w:color="auto"/>
        <w:left w:val="none" w:sz="0" w:space="0" w:color="auto"/>
        <w:bottom w:val="none" w:sz="0" w:space="0" w:color="auto"/>
        <w:right w:val="none" w:sz="0" w:space="0" w:color="auto"/>
      </w:divBdr>
    </w:div>
    <w:div w:id="572551208">
      <w:bodyDiv w:val="1"/>
      <w:marLeft w:val="0"/>
      <w:marRight w:val="0"/>
      <w:marTop w:val="0"/>
      <w:marBottom w:val="0"/>
      <w:divBdr>
        <w:top w:val="none" w:sz="0" w:space="0" w:color="auto"/>
        <w:left w:val="none" w:sz="0" w:space="0" w:color="auto"/>
        <w:bottom w:val="none" w:sz="0" w:space="0" w:color="auto"/>
        <w:right w:val="none" w:sz="0" w:space="0" w:color="auto"/>
      </w:divBdr>
    </w:div>
    <w:div w:id="660473924">
      <w:bodyDiv w:val="1"/>
      <w:marLeft w:val="0"/>
      <w:marRight w:val="0"/>
      <w:marTop w:val="0"/>
      <w:marBottom w:val="0"/>
      <w:divBdr>
        <w:top w:val="none" w:sz="0" w:space="0" w:color="auto"/>
        <w:left w:val="none" w:sz="0" w:space="0" w:color="auto"/>
        <w:bottom w:val="none" w:sz="0" w:space="0" w:color="auto"/>
        <w:right w:val="none" w:sz="0" w:space="0" w:color="auto"/>
      </w:divBdr>
    </w:div>
    <w:div w:id="788864049">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984547418">
      <w:bodyDiv w:val="1"/>
      <w:marLeft w:val="0"/>
      <w:marRight w:val="0"/>
      <w:marTop w:val="0"/>
      <w:marBottom w:val="0"/>
      <w:divBdr>
        <w:top w:val="none" w:sz="0" w:space="0" w:color="auto"/>
        <w:left w:val="none" w:sz="0" w:space="0" w:color="auto"/>
        <w:bottom w:val="none" w:sz="0" w:space="0" w:color="auto"/>
        <w:right w:val="none" w:sz="0" w:space="0" w:color="auto"/>
      </w:divBdr>
    </w:div>
    <w:div w:id="1057969312">
      <w:bodyDiv w:val="1"/>
      <w:marLeft w:val="0"/>
      <w:marRight w:val="0"/>
      <w:marTop w:val="0"/>
      <w:marBottom w:val="0"/>
      <w:divBdr>
        <w:top w:val="none" w:sz="0" w:space="0" w:color="auto"/>
        <w:left w:val="none" w:sz="0" w:space="0" w:color="auto"/>
        <w:bottom w:val="none" w:sz="0" w:space="0" w:color="auto"/>
        <w:right w:val="none" w:sz="0" w:space="0" w:color="auto"/>
      </w:divBdr>
    </w:div>
    <w:div w:id="1353216456">
      <w:bodyDiv w:val="1"/>
      <w:marLeft w:val="0"/>
      <w:marRight w:val="0"/>
      <w:marTop w:val="0"/>
      <w:marBottom w:val="0"/>
      <w:divBdr>
        <w:top w:val="none" w:sz="0" w:space="0" w:color="auto"/>
        <w:left w:val="none" w:sz="0" w:space="0" w:color="auto"/>
        <w:bottom w:val="none" w:sz="0" w:space="0" w:color="auto"/>
        <w:right w:val="none" w:sz="0" w:space="0" w:color="auto"/>
      </w:divBdr>
    </w:div>
    <w:div w:id="1424644291">
      <w:bodyDiv w:val="1"/>
      <w:marLeft w:val="0"/>
      <w:marRight w:val="0"/>
      <w:marTop w:val="0"/>
      <w:marBottom w:val="0"/>
      <w:divBdr>
        <w:top w:val="none" w:sz="0" w:space="0" w:color="auto"/>
        <w:left w:val="none" w:sz="0" w:space="0" w:color="auto"/>
        <w:bottom w:val="none" w:sz="0" w:space="0" w:color="auto"/>
        <w:right w:val="none" w:sz="0" w:space="0" w:color="auto"/>
      </w:divBdr>
    </w:div>
    <w:div w:id="1434201299">
      <w:bodyDiv w:val="1"/>
      <w:marLeft w:val="0"/>
      <w:marRight w:val="0"/>
      <w:marTop w:val="0"/>
      <w:marBottom w:val="0"/>
      <w:divBdr>
        <w:top w:val="none" w:sz="0" w:space="0" w:color="auto"/>
        <w:left w:val="none" w:sz="0" w:space="0" w:color="auto"/>
        <w:bottom w:val="none" w:sz="0" w:space="0" w:color="auto"/>
        <w:right w:val="none" w:sz="0" w:space="0" w:color="auto"/>
      </w:divBdr>
    </w:div>
    <w:div w:id="1470173503">
      <w:bodyDiv w:val="1"/>
      <w:marLeft w:val="0"/>
      <w:marRight w:val="0"/>
      <w:marTop w:val="0"/>
      <w:marBottom w:val="0"/>
      <w:divBdr>
        <w:top w:val="none" w:sz="0" w:space="0" w:color="auto"/>
        <w:left w:val="none" w:sz="0" w:space="0" w:color="auto"/>
        <w:bottom w:val="none" w:sz="0" w:space="0" w:color="auto"/>
        <w:right w:val="none" w:sz="0" w:space="0" w:color="auto"/>
      </w:divBdr>
    </w:div>
    <w:div w:id="1503397967">
      <w:bodyDiv w:val="1"/>
      <w:marLeft w:val="0"/>
      <w:marRight w:val="0"/>
      <w:marTop w:val="0"/>
      <w:marBottom w:val="0"/>
      <w:divBdr>
        <w:top w:val="none" w:sz="0" w:space="0" w:color="auto"/>
        <w:left w:val="none" w:sz="0" w:space="0" w:color="auto"/>
        <w:bottom w:val="none" w:sz="0" w:space="0" w:color="auto"/>
        <w:right w:val="none" w:sz="0" w:space="0" w:color="auto"/>
      </w:divBdr>
    </w:div>
    <w:div w:id="1560434659">
      <w:bodyDiv w:val="1"/>
      <w:marLeft w:val="0"/>
      <w:marRight w:val="0"/>
      <w:marTop w:val="0"/>
      <w:marBottom w:val="0"/>
      <w:divBdr>
        <w:top w:val="none" w:sz="0" w:space="0" w:color="auto"/>
        <w:left w:val="none" w:sz="0" w:space="0" w:color="auto"/>
        <w:bottom w:val="none" w:sz="0" w:space="0" w:color="auto"/>
        <w:right w:val="none" w:sz="0" w:space="0" w:color="auto"/>
      </w:divBdr>
    </w:div>
    <w:div w:id="1631978467">
      <w:bodyDiv w:val="1"/>
      <w:marLeft w:val="0"/>
      <w:marRight w:val="0"/>
      <w:marTop w:val="0"/>
      <w:marBottom w:val="0"/>
      <w:divBdr>
        <w:top w:val="none" w:sz="0" w:space="0" w:color="auto"/>
        <w:left w:val="none" w:sz="0" w:space="0" w:color="auto"/>
        <w:bottom w:val="none" w:sz="0" w:space="0" w:color="auto"/>
        <w:right w:val="none" w:sz="0" w:space="0" w:color="auto"/>
      </w:divBdr>
    </w:div>
    <w:div w:id="1652559545">
      <w:bodyDiv w:val="1"/>
      <w:marLeft w:val="0"/>
      <w:marRight w:val="0"/>
      <w:marTop w:val="0"/>
      <w:marBottom w:val="0"/>
      <w:divBdr>
        <w:top w:val="none" w:sz="0" w:space="0" w:color="auto"/>
        <w:left w:val="none" w:sz="0" w:space="0" w:color="auto"/>
        <w:bottom w:val="none" w:sz="0" w:space="0" w:color="auto"/>
        <w:right w:val="none" w:sz="0" w:space="0" w:color="auto"/>
      </w:divBdr>
    </w:div>
    <w:div w:id="1696035087">
      <w:bodyDiv w:val="1"/>
      <w:marLeft w:val="0"/>
      <w:marRight w:val="0"/>
      <w:marTop w:val="0"/>
      <w:marBottom w:val="0"/>
      <w:divBdr>
        <w:top w:val="none" w:sz="0" w:space="0" w:color="auto"/>
        <w:left w:val="none" w:sz="0" w:space="0" w:color="auto"/>
        <w:bottom w:val="none" w:sz="0" w:space="0" w:color="auto"/>
        <w:right w:val="none" w:sz="0" w:space="0" w:color="auto"/>
      </w:divBdr>
    </w:div>
    <w:div w:id="1759446991">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 w:id="2000772089">
      <w:bodyDiv w:val="1"/>
      <w:marLeft w:val="0"/>
      <w:marRight w:val="0"/>
      <w:marTop w:val="0"/>
      <w:marBottom w:val="0"/>
      <w:divBdr>
        <w:top w:val="none" w:sz="0" w:space="0" w:color="auto"/>
        <w:left w:val="none" w:sz="0" w:space="0" w:color="auto"/>
        <w:bottom w:val="none" w:sz="0" w:space="0" w:color="auto"/>
        <w:right w:val="none" w:sz="0" w:space="0" w:color="auto"/>
      </w:divBdr>
    </w:div>
    <w:div w:id="2001275168">
      <w:bodyDiv w:val="1"/>
      <w:marLeft w:val="0"/>
      <w:marRight w:val="0"/>
      <w:marTop w:val="0"/>
      <w:marBottom w:val="0"/>
      <w:divBdr>
        <w:top w:val="none" w:sz="0" w:space="0" w:color="auto"/>
        <w:left w:val="none" w:sz="0" w:space="0" w:color="auto"/>
        <w:bottom w:val="none" w:sz="0" w:space="0" w:color="auto"/>
        <w:right w:val="none" w:sz="0" w:space="0" w:color="auto"/>
      </w:divBdr>
    </w:div>
    <w:div w:id="20983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p.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idp.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dp.a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dp.a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CA22-ACC9-4944-96F2-FF94E01C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19</Pages>
  <Words>6600</Words>
  <Characters>37623</Characters>
  <Application>Microsoft Office Word</Application>
  <DocSecurity>0</DocSecurity>
  <Lines>313</Lines>
  <Paragraphs>88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L_Morina</cp:lastModifiedBy>
  <cp:revision>11</cp:revision>
  <cp:lastPrinted>2023-01-26T13:50:00Z</cp:lastPrinted>
  <dcterms:created xsi:type="dcterms:W3CDTF">2023-02-13T15:11:00Z</dcterms:created>
  <dcterms:modified xsi:type="dcterms:W3CDTF">2023-02-17T08:35:00Z</dcterms:modified>
</cp:coreProperties>
</file>