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FE7" w:rsidRPr="00C37BB4" w:rsidRDefault="00A80E76" w:rsidP="00D24FE7">
      <w:pPr>
        <w:tabs>
          <w:tab w:val="left" w:pos="9000"/>
        </w:tabs>
        <w:autoSpaceDE w:val="0"/>
        <w:autoSpaceDN w:val="0"/>
        <w:adjustRightInd w:val="0"/>
        <w:rPr>
          <w:b/>
        </w:rPr>
      </w:pPr>
      <w:r>
        <w:rPr>
          <w:noProof/>
          <w:lang w:val="en-US" w:eastAsia="en-US"/>
        </w:rPr>
        <mc:AlternateContent>
          <mc:Choice Requires="wps">
            <w:drawing>
              <wp:anchor distT="4294967293" distB="4294967293" distL="114300" distR="114300" simplePos="0" relativeHeight="251657216" behindDoc="0" locked="0" layoutInCell="1" allowOverlap="1">
                <wp:simplePos x="0" y="0"/>
                <wp:positionH relativeFrom="column">
                  <wp:posOffset>34290</wp:posOffset>
                </wp:positionH>
                <wp:positionV relativeFrom="paragraph">
                  <wp:posOffset>469264</wp:posOffset>
                </wp:positionV>
                <wp:extent cx="2447925" cy="0"/>
                <wp:effectExtent l="0" t="0" r="2857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862F5B" id="_x0000_t32" coordsize="21600,21600" o:spt="32" o:oned="t" path="m,l21600,21600e" filled="f">
                <v:path arrowok="t" fillok="f" o:connecttype="none"/>
                <o:lock v:ext="edit" shapetype="t"/>
              </v:shapetype>
              <v:shape id="AutoShape 3" o:spid="_x0000_s1026" type="#_x0000_t32" style="position:absolute;margin-left:2.7pt;margin-top:36.95pt;width:192.7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" strokecolor="black [3213]" strokeweight="1pt"/>
            </w:pict>
          </mc:Fallback>
        </mc:AlternateContent>
      </w:r>
      <w:r>
        <w:rPr>
          <w:noProof/>
          <w:lang w:val="en-US" w:eastAsia="en-US"/>
        </w:rPr>
        <mc:AlternateContent>
          <mc:Choice Requires="wps">
            <w:drawing>
              <wp:anchor distT="4294967293" distB="4294967293" distL="114300" distR="114300" simplePos="0" relativeHeight="251658240" behindDoc="0" locked="0" layoutInCell="1" allowOverlap="1">
                <wp:simplePos x="0" y="0"/>
                <wp:positionH relativeFrom="column">
                  <wp:posOffset>2919730</wp:posOffset>
                </wp:positionH>
                <wp:positionV relativeFrom="paragraph">
                  <wp:posOffset>468629</wp:posOffset>
                </wp:positionV>
                <wp:extent cx="2447925" cy="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4812C" id="AutoShape 4" o:spid="_x0000_s1026" type="#_x0000_t32" style="position:absolute;margin-left:229.9pt;margin-top:36.9pt;width:192.7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" strokecolor="black [3213]" strokeweight="1pt"/>
            </w:pict>
          </mc:Fallback>
        </mc:AlternateContent>
      </w:r>
      <w:r w:rsidR="00BC2353">
        <w:t xml:space="preserve">                                                                  </w:t>
      </w:r>
      <w:r w:rsidR="00D24FE7" w:rsidRPr="00C37BB4">
        <w:object w:dxaOrig="2175"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o:preferrelative="f" fillcolor="window">
            <v:imagedata r:id="rId8" o:title=""/>
            <o:lock v:ext="edit" aspectratio="f"/>
          </v:shape>
          <o:OLEObject Type="Embed" ProgID="Unknown" ShapeID="_x0000_i1025" DrawAspect="Content" ObjectID="_1757492267" r:id="rId9"/>
        </w:object>
      </w:r>
    </w:p>
    <w:p w:rsidR="00D24FE7" w:rsidRPr="00004B0D" w:rsidRDefault="00D24FE7" w:rsidP="00D24FE7">
      <w:pPr>
        <w:pStyle w:val="Heading2"/>
        <w:spacing w:after="240"/>
        <w:jc w:val="center"/>
        <w:rPr>
          <w:sz w:val="20"/>
          <w:szCs w:val="20"/>
        </w:rPr>
      </w:pPr>
      <w:r w:rsidRPr="00004B0D">
        <w:rPr>
          <w:sz w:val="20"/>
          <w:szCs w:val="20"/>
        </w:rPr>
        <w:t>R E P U B L I K A   E   S H Q I P Ë R I S Ë</w:t>
      </w:r>
    </w:p>
    <w:p w:rsidR="007578F5" w:rsidRPr="00A80E76" w:rsidRDefault="00D24FE7" w:rsidP="00A80E76">
      <w:pPr>
        <w:jc w:val="center"/>
        <w:rPr>
          <w:b/>
        </w:rPr>
      </w:pPr>
      <w:r w:rsidRPr="00C37BB4">
        <w:rPr>
          <w:b/>
        </w:rPr>
        <w:t>KOMISIONERI PËR TË DREJTËN E INFORMIMIT DHE MBROJTJEN E TË DHËNAVE PERSONALE</w:t>
      </w:r>
    </w:p>
    <w:p w:rsidR="00D24FE7" w:rsidRPr="00B24E43" w:rsidRDefault="00BD607D" w:rsidP="00CC7130">
      <w:pPr>
        <w:jc w:val="center"/>
      </w:pPr>
      <w:r>
        <w:t>GMS/EMP</w:t>
      </w:r>
    </w:p>
    <w:p w:rsidR="00CC7130" w:rsidRDefault="00CC7130" w:rsidP="007578F5">
      <w:pPr>
        <w:jc w:val="both"/>
      </w:pPr>
    </w:p>
    <w:p w:rsidR="00CC7130" w:rsidRPr="00B151C3" w:rsidRDefault="003A33F8" w:rsidP="00CC7130">
      <w:pPr>
        <w:spacing w:line="276" w:lineRule="auto"/>
        <w:ind w:left="900" w:right="140" w:hanging="900"/>
        <w:jc w:val="both"/>
      </w:pPr>
      <w:r w:rsidRPr="00B151C3">
        <w:t>Lë</w:t>
      </w:r>
      <w:r w:rsidR="00C400D3" w:rsidRPr="00B151C3">
        <w:t xml:space="preserve">nda: </w:t>
      </w:r>
      <w:r w:rsidR="00536C27" w:rsidRPr="00B151C3">
        <w:t xml:space="preserve">Raport i monitorimit mbi performancën e produkteve/shpenzimeve për </w:t>
      </w:r>
      <w:r w:rsidR="00497A5C">
        <w:t xml:space="preserve">periudhën </w:t>
      </w:r>
      <w:r w:rsidR="00A80E26">
        <w:t xml:space="preserve"> </w:t>
      </w:r>
      <w:r w:rsidR="00497A5C">
        <w:t xml:space="preserve"> Janar- </w:t>
      </w:r>
      <w:r w:rsidR="00A80E26">
        <w:t xml:space="preserve">Gusht </w:t>
      </w:r>
      <w:r w:rsidR="00497A5C">
        <w:t xml:space="preserve"> 2023  </w:t>
      </w:r>
    </w:p>
    <w:p w:rsidR="009477E1" w:rsidRPr="00B151C3" w:rsidRDefault="009477E1" w:rsidP="00CC7130">
      <w:pPr>
        <w:spacing w:line="276" w:lineRule="auto"/>
        <w:ind w:right="434"/>
        <w:jc w:val="both"/>
      </w:pPr>
    </w:p>
    <w:p w:rsidR="003575F7" w:rsidRPr="00000F0F" w:rsidRDefault="00DD07BD" w:rsidP="00000F0F">
      <w:pPr>
        <w:spacing w:line="276" w:lineRule="auto"/>
        <w:jc w:val="both"/>
        <w:rPr>
          <w:color w:val="0D0D0D" w:themeColor="text1" w:themeTint="F2"/>
        </w:rPr>
      </w:pPr>
      <w:r w:rsidRPr="00000F0F">
        <w:rPr>
          <w:color w:val="0D0D0D" w:themeColor="text1" w:themeTint="F2"/>
        </w:rPr>
        <w:t>Në mbështetje të Ligjit nr. 9936, datë 26.06.2008 “Për menaxhimin e sistemit buxhetor në Republikën e Shqipërisë”, i ndryshuar, Ligjit nr.10296, datë 8.07.2</w:t>
      </w:r>
      <w:r w:rsidR="00CC7130" w:rsidRPr="00000F0F">
        <w:rPr>
          <w:color w:val="0D0D0D" w:themeColor="text1" w:themeTint="F2"/>
        </w:rPr>
        <w:t>010</w:t>
      </w:r>
      <w:r w:rsidRPr="00000F0F">
        <w:rPr>
          <w:color w:val="0D0D0D" w:themeColor="text1" w:themeTint="F2"/>
        </w:rPr>
        <w:t xml:space="preserve"> </w:t>
      </w:r>
      <w:r w:rsidR="00CC7130" w:rsidRPr="00000F0F">
        <w:rPr>
          <w:color w:val="0D0D0D" w:themeColor="text1" w:themeTint="F2"/>
        </w:rPr>
        <w:t xml:space="preserve">                                      </w:t>
      </w:r>
      <w:r w:rsidRPr="00000F0F">
        <w:rPr>
          <w:color w:val="0D0D0D" w:themeColor="text1" w:themeTint="F2"/>
        </w:rPr>
        <w:t xml:space="preserve">“Për menaxhimin financiar dhe kontrollin”, i ndryshuar, </w:t>
      </w:r>
      <w:r w:rsidRPr="00000F0F">
        <w:rPr>
          <w:color w:val="0D0D0D" w:themeColor="text1" w:themeTint="F2"/>
          <w:lang w:val="it-IT"/>
        </w:rPr>
        <w:t xml:space="preserve">Ligjit </w:t>
      </w:r>
      <w:r w:rsidRPr="00000F0F">
        <w:rPr>
          <w:color w:val="0D0D0D" w:themeColor="text1" w:themeTint="F2"/>
        </w:rPr>
        <w:t>nr.</w:t>
      </w:r>
      <w:r w:rsidR="00BD607D" w:rsidRPr="00000F0F">
        <w:rPr>
          <w:color w:val="0D0D0D" w:themeColor="text1" w:themeTint="F2"/>
        </w:rPr>
        <w:t>115/2021</w:t>
      </w:r>
      <w:r w:rsidRPr="00000F0F">
        <w:rPr>
          <w:color w:val="0D0D0D" w:themeColor="text1" w:themeTint="F2"/>
        </w:rPr>
        <w:t xml:space="preserve"> “Për buxhetin e vitit 202</w:t>
      </w:r>
      <w:r w:rsidR="00BD607D" w:rsidRPr="00000F0F">
        <w:rPr>
          <w:color w:val="0D0D0D" w:themeColor="text1" w:themeTint="F2"/>
        </w:rPr>
        <w:t>2</w:t>
      </w:r>
      <w:r w:rsidRPr="00000F0F">
        <w:rPr>
          <w:color w:val="0D0D0D" w:themeColor="text1" w:themeTint="F2"/>
        </w:rPr>
        <w:t xml:space="preserve">”, Udhëzimit nr.9 datë 20.03.2018, “Për procedurat standarde të zbatimit të Buxhetit”, </w:t>
      </w:r>
      <w:r w:rsidR="00BD607D" w:rsidRPr="00000F0F">
        <w:rPr>
          <w:color w:val="262626" w:themeColor="text1" w:themeTint="D9"/>
        </w:rPr>
        <w:t>Udhëzimit plotësues nr.1, datë 10/01/2022 “Për zbat</w:t>
      </w:r>
      <w:r w:rsidR="00CC7130" w:rsidRPr="00000F0F">
        <w:rPr>
          <w:color w:val="262626" w:themeColor="text1" w:themeTint="D9"/>
        </w:rPr>
        <w:t>imin e buxhetit të vitit 2022”,</w:t>
      </w:r>
      <w:r w:rsidRPr="00000F0F">
        <w:rPr>
          <w:color w:val="0D0D0D" w:themeColor="text1" w:themeTint="F2"/>
        </w:rPr>
        <w:t xml:space="preserve"> </w:t>
      </w:r>
      <w:r w:rsidR="003575F7" w:rsidRPr="00000F0F">
        <w:rPr>
          <w:color w:val="0D0D0D" w:themeColor="text1" w:themeTint="F2"/>
        </w:rPr>
        <w:t xml:space="preserve">Zyra e Komisionerit për të Drejtën e Informimit dhe Mbrojtjen e të Dhënave Personale (këtej e tutje “Zyra e Komisionerit” ose KDIMDP), ka kryer monitorimin </w:t>
      </w:r>
      <w:r w:rsidR="003672D8" w:rsidRPr="00000F0F">
        <w:rPr>
          <w:color w:val="0D0D0D" w:themeColor="text1" w:themeTint="F2"/>
        </w:rPr>
        <w:t xml:space="preserve"> </w:t>
      </w:r>
      <w:r w:rsidR="004A1A46" w:rsidRPr="00000F0F">
        <w:rPr>
          <w:color w:val="0D0D0D" w:themeColor="text1" w:themeTint="F2"/>
        </w:rPr>
        <w:t xml:space="preserve">e buxhetit për </w:t>
      </w:r>
      <w:r w:rsidR="001553F2">
        <w:rPr>
          <w:color w:val="0D0D0D" w:themeColor="text1" w:themeTint="F2"/>
        </w:rPr>
        <w:t>periudhen Janar-</w:t>
      </w:r>
      <w:r w:rsidR="00A80E26">
        <w:rPr>
          <w:color w:val="0D0D0D" w:themeColor="text1" w:themeTint="F2"/>
        </w:rPr>
        <w:t xml:space="preserve">Gusht </w:t>
      </w:r>
      <w:r w:rsidR="001553F2">
        <w:rPr>
          <w:color w:val="0D0D0D" w:themeColor="text1" w:themeTint="F2"/>
        </w:rPr>
        <w:t>2023</w:t>
      </w:r>
      <w:r w:rsidR="004A1A46" w:rsidRPr="00000F0F">
        <w:rPr>
          <w:color w:val="0D0D0D" w:themeColor="text1" w:themeTint="F2"/>
        </w:rPr>
        <w:t>, nëpërmjet vlerësimit të performancës s</w:t>
      </w:r>
      <w:r w:rsidR="00F558AE" w:rsidRPr="00000F0F">
        <w:rPr>
          <w:color w:val="0D0D0D" w:themeColor="text1" w:themeTint="F2"/>
        </w:rPr>
        <w:t>ë</w:t>
      </w:r>
      <w:r w:rsidR="004A1A46" w:rsidRPr="00000F0F">
        <w:rPr>
          <w:color w:val="0D0D0D" w:themeColor="text1" w:themeTint="F2"/>
        </w:rPr>
        <w:t xml:space="preserve"> fondeve buxhetore dhe krahasimit të treguesve faktikë të performancës me ato të planifikuarat.   </w:t>
      </w:r>
    </w:p>
    <w:p w:rsidR="001553F2" w:rsidRPr="00497A5C" w:rsidRDefault="00DD07BD" w:rsidP="001553F2">
      <w:pPr>
        <w:spacing w:line="276" w:lineRule="auto"/>
        <w:jc w:val="both"/>
        <w:rPr>
          <w:color w:val="0D0D0D" w:themeColor="text1" w:themeTint="F2"/>
        </w:rPr>
      </w:pPr>
      <w:r w:rsidRPr="00000F0F">
        <w:rPr>
          <w:color w:val="0D0D0D" w:themeColor="text1" w:themeTint="F2"/>
        </w:rPr>
        <w:t xml:space="preserve">Monitorimi </w:t>
      </w:r>
      <w:r w:rsidR="004A1A46" w:rsidRPr="00000F0F">
        <w:t>ë</w:t>
      </w:r>
      <w:r w:rsidRPr="00000F0F">
        <w:rPr>
          <w:color w:val="0D0D0D" w:themeColor="text1" w:themeTint="F2"/>
        </w:rPr>
        <w:t>sht</w:t>
      </w:r>
      <w:r w:rsidR="003672D8" w:rsidRPr="00000F0F">
        <w:rPr>
          <w:color w:val="0D0D0D" w:themeColor="text1" w:themeTint="F2"/>
        </w:rPr>
        <w:t>ë</w:t>
      </w:r>
      <w:r w:rsidR="00CC7130" w:rsidRPr="00000F0F">
        <w:rPr>
          <w:color w:val="0D0D0D" w:themeColor="text1" w:themeTint="F2"/>
        </w:rPr>
        <w:t xml:space="preserve"> proc</w:t>
      </w:r>
      <w:r w:rsidRPr="00000F0F">
        <w:rPr>
          <w:color w:val="0D0D0D" w:themeColor="text1" w:themeTint="F2"/>
        </w:rPr>
        <w:t xml:space="preserve">esi që lidh realizimin e objektivave dhe produkteve me fondet përkatëse të planifikuara për arritjen e tyre. </w:t>
      </w:r>
    </w:p>
    <w:p w:rsidR="00A80E26" w:rsidRPr="00000F0F" w:rsidRDefault="001553F2" w:rsidP="00A80E26">
      <w:pPr>
        <w:spacing w:line="276" w:lineRule="auto"/>
        <w:jc w:val="both"/>
      </w:pPr>
      <w:r w:rsidRPr="001553F2">
        <w:t xml:space="preserve">Vizioni ynë është </w:t>
      </w:r>
      <w:r w:rsidRPr="001553F2">
        <w:rPr>
          <w:rStyle w:val="NoSpacingChar"/>
          <w:rFonts w:ascii="Times New Roman" w:hAnsi="Times New Roman"/>
        </w:rPr>
        <w:t>harmonizimi i bashkepunimit dhe veprimtarisë me autoritetet publike dhe me kontrolluesit publik/privat për forcimin e mjedisit në garantimin e të drejtave dhe</w:t>
      </w:r>
      <w:r w:rsidR="009150BD">
        <w:rPr>
          <w:rStyle w:val="NoSpacingChar"/>
          <w:rFonts w:ascii="Times New Roman" w:hAnsi="Times New Roman"/>
        </w:rPr>
        <w:t xml:space="preserve"> lirive themelore të qytetarëve</w:t>
      </w:r>
    </w:p>
    <w:p w:rsidR="00A80E26" w:rsidRPr="00000F0F" w:rsidRDefault="00A80E26" w:rsidP="00A80E26">
      <w:pPr>
        <w:spacing w:line="276" w:lineRule="auto"/>
        <w:jc w:val="both"/>
      </w:pPr>
      <w:r w:rsidRPr="00000F0F">
        <w:t xml:space="preserve">Për përmbushjen e sa më sipër, gjatë </w:t>
      </w:r>
      <w:r w:rsidRPr="00000F0F">
        <w:rPr>
          <w:color w:val="0D0D0D" w:themeColor="text1" w:themeTint="F2"/>
        </w:rPr>
        <w:t xml:space="preserve">vitit </w:t>
      </w:r>
      <w:r w:rsidRPr="00D73F14">
        <w:rPr>
          <w:color w:val="0D0D0D" w:themeColor="text1" w:themeTint="F2"/>
        </w:rPr>
        <w:t>2023</w:t>
      </w:r>
      <w:r w:rsidRPr="00000F0F">
        <w:rPr>
          <w:color w:val="0D0D0D" w:themeColor="text1" w:themeTint="F2"/>
        </w:rPr>
        <w:t xml:space="preserve"> </w:t>
      </w:r>
      <w:r w:rsidRPr="00000F0F">
        <w:t>dhe në vijim objektivat e Zyrës së Komisionerit do të jenë:</w:t>
      </w:r>
    </w:p>
    <w:p w:rsidR="00A80E26" w:rsidRPr="00000F0F" w:rsidRDefault="00A80E26" w:rsidP="00A80E26">
      <w:pPr>
        <w:spacing w:line="276" w:lineRule="auto"/>
        <w:jc w:val="both"/>
      </w:pPr>
    </w:p>
    <w:p w:rsidR="00A80E26" w:rsidRDefault="00A80E26" w:rsidP="00A80E26">
      <w:pPr>
        <w:pStyle w:val="ListParagraph"/>
        <w:numPr>
          <w:ilvl w:val="0"/>
          <w:numId w:val="10"/>
        </w:numPr>
        <w:spacing w:after="160"/>
        <w:jc w:val="both"/>
        <w:rPr>
          <w:rFonts w:ascii="Times New Roman" w:hAnsi="Times New Roman"/>
          <w:sz w:val="24"/>
          <w:szCs w:val="24"/>
        </w:rPr>
      </w:pPr>
      <w:r>
        <w:rPr>
          <w:rFonts w:ascii="Times New Roman" w:hAnsi="Times New Roman"/>
          <w:sz w:val="24"/>
          <w:szCs w:val="24"/>
        </w:rPr>
        <w:t xml:space="preserve">Pasja e rolit </w:t>
      </w:r>
      <w:r w:rsidRPr="00847FCA">
        <w:rPr>
          <w:rFonts w:ascii="Times New Roman" w:hAnsi="Times New Roman"/>
          <w:sz w:val="24"/>
          <w:szCs w:val="24"/>
        </w:rPr>
        <w:t xml:space="preserve">aktiv në përmbylljen e procedurave për </w:t>
      </w:r>
      <w:r>
        <w:rPr>
          <w:rFonts w:ascii="Times New Roman" w:hAnsi="Times New Roman"/>
          <w:sz w:val="24"/>
          <w:szCs w:val="24"/>
        </w:rPr>
        <w:t xml:space="preserve">miratimin e </w:t>
      </w:r>
      <w:r w:rsidRPr="00847FCA">
        <w:rPr>
          <w:rFonts w:ascii="Times New Roman" w:hAnsi="Times New Roman"/>
          <w:sz w:val="24"/>
          <w:szCs w:val="24"/>
        </w:rPr>
        <w:t>kuadrit ligjor</w:t>
      </w:r>
      <w:r>
        <w:rPr>
          <w:rFonts w:ascii="Times New Roman" w:hAnsi="Times New Roman"/>
          <w:sz w:val="24"/>
          <w:szCs w:val="24"/>
        </w:rPr>
        <w:t>/</w:t>
      </w:r>
      <w:r w:rsidRPr="00847FCA">
        <w:rPr>
          <w:rFonts w:ascii="Times New Roman" w:hAnsi="Times New Roman"/>
          <w:sz w:val="24"/>
          <w:szCs w:val="24"/>
        </w:rPr>
        <w:t xml:space="preserve">nënligjor </w:t>
      </w:r>
      <w:r>
        <w:rPr>
          <w:rFonts w:ascii="Times New Roman" w:hAnsi="Times New Roman"/>
          <w:sz w:val="24"/>
          <w:szCs w:val="24"/>
        </w:rPr>
        <w:t>p</w:t>
      </w:r>
      <w:r w:rsidRPr="00847FCA">
        <w:rPr>
          <w:rFonts w:ascii="Times New Roman" w:hAnsi="Times New Roman"/>
          <w:sz w:val="24"/>
          <w:szCs w:val="24"/>
        </w:rPr>
        <w:t>ë</w:t>
      </w:r>
      <w:r>
        <w:rPr>
          <w:rFonts w:ascii="Times New Roman" w:hAnsi="Times New Roman"/>
          <w:sz w:val="24"/>
          <w:szCs w:val="24"/>
        </w:rPr>
        <w:t>r</w:t>
      </w:r>
      <w:r w:rsidRPr="00847FCA">
        <w:rPr>
          <w:rFonts w:ascii="Times New Roman" w:hAnsi="Times New Roman"/>
          <w:sz w:val="24"/>
          <w:szCs w:val="24"/>
        </w:rPr>
        <w:t xml:space="preserve"> </w:t>
      </w:r>
      <w:r>
        <w:rPr>
          <w:rFonts w:ascii="Times New Roman" w:hAnsi="Times New Roman"/>
          <w:sz w:val="24"/>
          <w:szCs w:val="24"/>
        </w:rPr>
        <w:t xml:space="preserve">të </w:t>
      </w:r>
      <w:r w:rsidRPr="00847FCA">
        <w:rPr>
          <w:rFonts w:ascii="Times New Roman" w:hAnsi="Times New Roman"/>
          <w:sz w:val="24"/>
          <w:szCs w:val="24"/>
        </w:rPr>
        <w:t>dy fushat e veprimtarisë</w:t>
      </w:r>
      <w:r>
        <w:rPr>
          <w:rFonts w:ascii="Times New Roman" w:hAnsi="Times New Roman"/>
          <w:sz w:val="24"/>
          <w:szCs w:val="24"/>
        </w:rPr>
        <w:t>;</w:t>
      </w:r>
    </w:p>
    <w:p w:rsidR="00A80E26" w:rsidRPr="006C3461" w:rsidRDefault="00A80E26" w:rsidP="00A80E26">
      <w:pPr>
        <w:pStyle w:val="ListParagraph"/>
        <w:numPr>
          <w:ilvl w:val="0"/>
          <w:numId w:val="10"/>
        </w:numPr>
        <w:jc w:val="both"/>
        <w:rPr>
          <w:rFonts w:ascii="Times New Roman" w:hAnsi="Times New Roman"/>
          <w:sz w:val="24"/>
          <w:szCs w:val="24"/>
        </w:rPr>
      </w:pPr>
      <w:r>
        <w:rPr>
          <w:rFonts w:ascii="Times New Roman" w:hAnsi="Times New Roman"/>
          <w:sz w:val="24"/>
          <w:szCs w:val="24"/>
        </w:rPr>
        <w:t>b</w:t>
      </w:r>
      <w:r w:rsidRPr="00C762C8">
        <w:rPr>
          <w:rFonts w:ascii="Times New Roman" w:hAnsi="Times New Roman"/>
          <w:sz w:val="24"/>
          <w:szCs w:val="24"/>
        </w:rPr>
        <w:t>ashkëpun</w:t>
      </w:r>
      <w:r>
        <w:rPr>
          <w:rFonts w:ascii="Times New Roman" w:hAnsi="Times New Roman"/>
          <w:sz w:val="24"/>
          <w:szCs w:val="24"/>
        </w:rPr>
        <w:t>imi</w:t>
      </w:r>
      <w:r w:rsidRPr="00C762C8">
        <w:rPr>
          <w:rFonts w:ascii="Times New Roman" w:hAnsi="Times New Roman"/>
          <w:sz w:val="24"/>
          <w:szCs w:val="24"/>
        </w:rPr>
        <w:t xml:space="preserve"> në mënyrë të vazhdueshme me qytetarët dhe grupet e interesit për njohjen e kuadrit të modernizuar ligjor në të dyj</w:t>
      </w:r>
      <w:r>
        <w:rPr>
          <w:rFonts w:ascii="Times New Roman" w:hAnsi="Times New Roman"/>
          <w:sz w:val="24"/>
          <w:szCs w:val="24"/>
        </w:rPr>
        <w:t xml:space="preserve">a fushat e përgjegjësisë si dhe </w:t>
      </w:r>
      <w:r w:rsidRPr="00C762C8">
        <w:rPr>
          <w:rFonts w:ascii="Times New Roman" w:hAnsi="Times New Roman"/>
          <w:sz w:val="24"/>
          <w:szCs w:val="24"/>
        </w:rPr>
        <w:t>nxi</w:t>
      </w:r>
      <w:r>
        <w:rPr>
          <w:rFonts w:ascii="Times New Roman" w:hAnsi="Times New Roman"/>
          <w:sz w:val="24"/>
          <w:szCs w:val="24"/>
        </w:rPr>
        <w:t xml:space="preserve">tjen e </w:t>
      </w:r>
      <w:r w:rsidRPr="00C762C8">
        <w:rPr>
          <w:rFonts w:ascii="Times New Roman" w:hAnsi="Times New Roman"/>
          <w:sz w:val="24"/>
          <w:szCs w:val="24"/>
        </w:rPr>
        <w:t>ndërgjegjësimi</w:t>
      </w:r>
      <w:r>
        <w:rPr>
          <w:rFonts w:ascii="Times New Roman" w:hAnsi="Times New Roman"/>
          <w:sz w:val="24"/>
          <w:szCs w:val="24"/>
        </w:rPr>
        <w:t>t</w:t>
      </w:r>
      <w:r w:rsidRPr="00C762C8">
        <w:rPr>
          <w:rFonts w:ascii="Times New Roman" w:hAnsi="Times New Roman"/>
          <w:sz w:val="24"/>
          <w:szCs w:val="24"/>
        </w:rPr>
        <w:t xml:space="preserve"> për zbatimin e tij; </w:t>
      </w:r>
    </w:p>
    <w:p w:rsidR="00A80E26" w:rsidRPr="00847FCA" w:rsidRDefault="00A80E26" w:rsidP="00A80E26">
      <w:pPr>
        <w:pStyle w:val="ListParagraph"/>
        <w:numPr>
          <w:ilvl w:val="0"/>
          <w:numId w:val="10"/>
        </w:numPr>
        <w:jc w:val="both"/>
        <w:rPr>
          <w:rFonts w:ascii="Times New Roman" w:hAnsi="Times New Roman"/>
          <w:sz w:val="24"/>
          <w:szCs w:val="24"/>
        </w:rPr>
      </w:pPr>
      <w:r>
        <w:rPr>
          <w:rFonts w:ascii="Times New Roman" w:hAnsi="Times New Roman"/>
          <w:sz w:val="24"/>
          <w:szCs w:val="24"/>
        </w:rPr>
        <w:t>t</w:t>
      </w:r>
      <w:r w:rsidRPr="00847FCA">
        <w:rPr>
          <w:rFonts w:ascii="Times New Roman" w:hAnsi="Times New Roman"/>
          <w:sz w:val="24"/>
          <w:szCs w:val="24"/>
        </w:rPr>
        <w:t>hell</w:t>
      </w:r>
      <w:r>
        <w:rPr>
          <w:rFonts w:ascii="Times New Roman" w:hAnsi="Times New Roman"/>
          <w:sz w:val="24"/>
          <w:szCs w:val="24"/>
        </w:rPr>
        <w:t>imi i</w:t>
      </w:r>
      <w:r w:rsidRPr="00847FCA">
        <w:rPr>
          <w:rFonts w:ascii="Times New Roman" w:hAnsi="Times New Roman"/>
          <w:sz w:val="24"/>
          <w:szCs w:val="24"/>
        </w:rPr>
        <w:t xml:space="preserve"> mbik</w:t>
      </w:r>
      <w:r>
        <w:rPr>
          <w:rFonts w:ascii="Times New Roman" w:hAnsi="Times New Roman"/>
          <w:sz w:val="24"/>
          <w:szCs w:val="24"/>
        </w:rPr>
        <w:t>ë</w:t>
      </w:r>
      <w:r w:rsidRPr="00847FCA">
        <w:rPr>
          <w:rFonts w:ascii="Times New Roman" w:hAnsi="Times New Roman"/>
          <w:sz w:val="24"/>
          <w:szCs w:val="24"/>
        </w:rPr>
        <w:t>qyrje</w:t>
      </w:r>
      <w:r>
        <w:rPr>
          <w:rFonts w:ascii="Times New Roman" w:hAnsi="Times New Roman"/>
          <w:sz w:val="24"/>
          <w:szCs w:val="24"/>
        </w:rPr>
        <w:t>s</w:t>
      </w:r>
      <w:r w:rsidRPr="00847FCA">
        <w:rPr>
          <w:rFonts w:ascii="Times New Roman" w:hAnsi="Times New Roman"/>
          <w:sz w:val="24"/>
          <w:szCs w:val="24"/>
        </w:rPr>
        <w:t xml:space="preserve"> dhe monitorimi</w:t>
      </w:r>
      <w:r>
        <w:rPr>
          <w:rFonts w:ascii="Times New Roman" w:hAnsi="Times New Roman"/>
          <w:sz w:val="24"/>
          <w:szCs w:val="24"/>
        </w:rPr>
        <w:t xml:space="preserve"> i</w:t>
      </w:r>
      <w:r w:rsidRPr="00847FCA">
        <w:rPr>
          <w:rFonts w:ascii="Times New Roman" w:hAnsi="Times New Roman"/>
          <w:sz w:val="24"/>
          <w:szCs w:val="24"/>
        </w:rPr>
        <w:t xml:space="preserve"> zbatimit të </w:t>
      </w:r>
      <w:r>
        <w:rPr>
          <w:rFonts w:ascii="Times New Roman" w:hAnsi="Times New Roman"/>
          <w:sz w:val="24"/>
          <w:szCs w:val="24"/>
        </w:rPr>
        <w:t>ligjit</w:t>
      </w:r>
      <w:r w:rsidRPr="00847FCA">
        <w:rPr>
          <w:rFonts w:ascii="Times New Roman" w:hAnsi="Times New Roman"/>
          <w:sz w:val="24"/>
          <w:szCs w:val="24"/>
        </w:rPr>
        <w:t xml:space="preserve"> për të drejtën e informimit</w:t>
      </w:r>
      <w:r>
        <w:rPr>
          <w:rFonts w:ascii="Times New Roman" w:hAnsi="Times New Roman"/>
          <w:sz w:val="24"/>
          <w:szCs w:val="24"/>
        </w:rPr>
        <w:t>,</w:t>
      </w:r>
      <w:r w:rsidRPr="00847FCA">
        <w:rPr>
          <w:rFonts w:ascii="Times New Roman" w:hAnsi="Times New Roman"/>
          <w:sz w:val="24"/>
          <w:szCs w:val="24"/>
        </w:rPr>
        <w:t xml:space="preserve"> duke patur si qëllim rritjen e kontrollit mbi veprimtarinë e administratës publike</w:t>
      </w:r>
      <w:r>
        <w:rPr>
          <w:rFonts w:ascii="Times New Roman" w:hAnsi="Times New Roman"/>
          <w:sz w:val="24"/>
          <w:szCs w:val="24"/>
        </w:rPr>
        <w:t xml:space="preserve"> </w:t>
      </w:r>
      <w:r w:rsidRPr="00847FCA">
        <w:rPr>
          <w:rFonts w:ascii="Times New Roman" w:hAnsi="Times New Roman"/>
          <w:sz w:val="24"/>
          <w:szCs w:val="24"/>
        </w:rPr>
        <w:t xml:space="preserve"> si dhe garantimin e aksesit në informacion publik</w:t>
      </w:r>
      <w:r>
        <w:rPr>
          <w:rFonts w:ascii="Times New Roman" w:hAnsi="Times New Roman"/>
          <w:sz w:val="24"/>
          <w:szCs w:val="24"/>
        </w:rPr>
        <w:t>;</w:t>
      </w:r>
    </w:p>
    <w:p w:rsidR="00A80E26" w:rsidRPr="00847FCA" w:rsidRDefault="00A80E26" w:rsidP="00A80E26">
      <w:pPr>
        <w:pStyle w:val="ListParagraph"/>
        <w:numPr>
          <w:ilvl w:val="0"/>
          <w:numId w:val="10"/>
        </w:numPr>
        <w:jc w:val="both"/>
        <w:rPr>
          <w:rFonts w:ascii="Times New Roman" w:hAnsi="Times New Roman"/>
          <w:sz w:val="24"/>
          <w:szCs w:val="24"/>
        </w:rPr>
      </w:pPr>
      <w:r w:rsidRPr="00847FCA">
        <w:rPr>
          <w:rFonts w:ascii="Times New Roman" w:hAnsi="Times New Roman"/>
          <w:sz w:val="24"/>
          <w:szCs w:val="24"/>
        </w:rPr>
        <w:t>verifikimin dhe mbik</w:t>
      </w:r>
      <w:r>
        <w:rPr>
          <w:rFonts w:ascii="Times New Roman" w:hAnsi="Times New Roman"/>
          <w:sz w:val="24"/>
          <w:szCs w:val="24"/>
        </w:rPr>
        <w:t>ë</w:t>
      </w:r>
      <w:r w:rsidRPr="00847FCA">
        <w:rPr>
          <w:rFonts w:ascii="Times New Roman" w:hAnsi="Times New Roman"/>
          <w:sz w:val="24"/>
          <w:szCs w:val="24"/>
        </w:rPr>
        <w:t>qyrj</w:t>
      </w:r>
      <w:r>
        <w:rPr>
          <w:rFonts w:ascii="Times New Roman" w:hAnsi="Times New Roman"/>
          <w:sz w:val="24"/>
          <w:szCs w:val="24"/>
        </w:rPr>
        <w:t>en</w:t>
      </w:r>
      <w:r w:rsidRPr="00847FCA">
        <w:rPr>
          <w:rFonts w:ascii="Times New Roman" w:hAnsi="Times New Roman"/>
          <w:sz w:val="24"/>
          <w:szCs w:val="24"/>
        </w:rPr>
        <w:t xml:space="preserve"> </w:t>
      </w:r>
      <w:r>
        <w:rPr>
          <w:rFonts w:ascii="Times New Roman" w:hAnsi="Times New Roman"/>
          <w:sz w:val="24"/>
          <w:szCs w:val="24"/>
        </w:rPr>
        <w:t xml:space="preserve">e transparencës proaktive </w:t>
      </w:r>
      <w:r w:rsidRPr="00847FCA">
        <w:rPr>
          <w:rFonts w:ascii="Times New Roman" w:hAnsi="Times New Roman"/>
          <w:sz w:val="24"/>
          <w:szCs w:val="24"/>
        </w:rPr>
        <w:t>të autoriteteve publike</w:t>
      </w:r>
      <w:r>
        <w:rPr>
          <w:rFonts w:ascii="Times New Roman" w:hAnsi="Times New Roman"/>
          <w:sz w:val="24"/>
          <w:szCs w:val="24"/>
        </w:rPr>
        <w:t>,</w:t>
      </w:r>
      <w:r w:rsidRPr="00847FCA">
        <w:rPr>
          <w:rFonts w:ascii="Times New Roman" w:hAnsi="Times New Roman"/>
          <w:sz w:val="24"/>
          <w:szCs w:val="24"/>
        </w:rPr>
        <w:t xml:space="preserve"> </w:t>
      </w:r>
      <w:r>
        <w:rPr>
          <w:rFonts w:ascii="Times New Roman" w:hAnsi="Times New Roman"/>
          <w:sz w:val="24"/>
          <w:szCs w:val="24"/>
        </w:rPr>
        <w:t xml:space="preserve">mbi  </w:t>
      </w:r>
      <w:r w:rsidRPr="00847FCA">
        <w:rPr>
          <w:rFonts w:ascii="Times New Roman" w:hAnsi="Times New Roman"/>
          <w:sz w:val="24"/>
          <w:szCs w:val="24"/>
        </w:rPr>
        <w:t xml:space="preserve"> zbatimi</w:t>
      </w:r>
      <w:r>
        <w:rPr>
          <w:rFonts w:ascii="Times New Roman" w:hAnsi="Times New Roman"/>
          <w:sz w:val="24"/>
          <w:szCs w:val="24"/>
        </w:rPr>
        <w:t>n</w:t>
      </w:r>
      <w:r w:rsidRPr="00847FCA">
        <w:rPr>
          <w:rFonts w:ascii="Times New Roman" w:hAnsi="Times New Roman"/>
          <w:sz w:val="24"/>
          <w:szCs w:val="24"/>
        </w:rPr>
        <w:t xml:space="preserve"> dhe përditësimi</w:t>
      </w:r>
      <w:r>
        <w:rPr>
          <w:rFonts w:ascii="Times New Roman" w:hAnsi="Times New Roman"/>
          <w:sz w:val="24"/>
          <w:szCs w:val="24"/>
        </w:rPr>
        <w:t>n</w:t>
      </w:r>
      <w:r w:rsidRPr="00847FCA">
        <w:rPr>
          <w:rFonts w:ascii="Times New Roman" w:hAnsi="Times New Roman"/>
          <w:sz w:val="24"/>
          <w:szCs w:val="24"/>
        </w:rPr>
        <w:t xml:space="preserve"> </w:t>
      </w:r>
      <w:r>
        <w:rPr>
          <w:rFonts w:ascii="Times New Roman" w:hAnsi="Times New Roman"/>
          <w:sz w:val="24"/>
          <w:szCs w:val="24"/>
        </w:rPr>
        <w:t>e</w:t>
      </w:r>
      <w:r w:rsidRPr="00847FCA">
        <w:rPr>
          <w:rFonts w:ascii="Times New Roman" w:hAnsi="Times New Roman"/>
          <w:sz w:val="24"/>
          <w:szCs w:val="24"/>
        </w:rPr>
        <w:t xml:space="preserve"> Programit të Transparencës dhe Regjistrit të Kërkesave dhe Përgjigjeve</w:t>
      </w:r>
      <w:r>
        <w:rPr>
          <w:rFonts w:ascii="Times New Roman" w:hAnsi="Times New Roman"/>
          <w:sz w:val="24"/>
          <w:szCs w:val="24"/>
        </w:rPr>
        <w:t>;</w:t>
      </w:r>
    </w:p>
    <w:p w:rsidR="00A80E26" w:rsidRPr="00000F0F" w:rsidRDefault="00A80E26" w:rsidP="00A80E26">
      <w:pPr>
        <w:pStyle w:val="ListParagraph"/>
        <w:numPr>
          <w:ilvl w:val="0"/>
          <w:numId w:val="10"/>
        </w:numPr>
        <w:spacing w:after="160"/>
        <w:jc w:val="both"/>
        <w:rPr>
          <w:rFonts w:ascii="Times New Roman" w:hAnsi="Times New Roman"/>
          <w:sz w:val="24"/>
          <w:szCs w:val="24"/>
        </w:rPr>
      </w:pPr>
      <w:r w:rsidRPr="008A20D8">
        <w:rPr>
          <w:rFonts w:ascii="Times New Roman" w:hAnsi="Times New Roman"/>
          <w:sz w:val="24"/>
          <w:szCs w:val="24"/>
        </w:rPr>
        <w:t>shtrirj</w:t>
      </w:r>
      <w:r>
        <w:rPr>
          <w:rFonts w:ascii="Times New Roman" w:hAnsi="Times New Roman"/>
          <w:sz w:val="24"/>
          <w:szCs w:val="24"/>
        </w:rPr>
        <w:t>a</w:t>
      </w:r>
      <w:r w:rsidRPr="008A20D8">
        <w:rPr>
          <w:rFonts w:ascii="Times New Roman" w:hAnsi="Times New Roman"/>
          <w:sz w:val="24"/>
          <w:szCs w:val="24"/>
        </w:rPr>
        <w:t xml:space="preserve"> e instalimit të REKPDI në sa më shumë autoritete publike, si dhe </w:t>
      </w:r>
      <w:r>
        <w:rPr>
          <w:rFonts w:ascii="Times New Roman" w:hAnsi="Times New Roman"/>
          <w:sz w:val="24"/>
          <w:szCs w:val="24"/>
        </w:rPr>
        <w:t>t</w:t>
      </w:r>
      <w:r w:rsidRPr="008A20D8">
        <w:rPr>
          <w:rFonts w:ascii="Times New Roman" w:hAnsi="Times New Roman"/>
          <w:sz w:val="24"/>
          <w:szCs w:val="24"/>
        </w:rPr>
        <w:t>ë mundë</w:t>
      </w:r>
      <w:r>
        <w:rPr>
          <w:rFonts w:ascii="Times New Roman" w:hAnsi="Times New Roman"/>
          <w:sz w:val="24"/>
          <w:szCs w:val="24"/>
        </w:rPr>
        <w:t xml:space="preserve">simi i </w:t>
      </w:r>
      <w:r w:rsidRPr="008A20D8">
        <w:rPr>
          <w:rFonts w:ascii="Times New Roman" w:hAnsi="Times New Roman"/>
          <w:sz w:val="24"/>
          <w:szCs w:val="24"/>
        </w:rPr>
        <w:t>ndërthurje</w:t>
      </w:r>
      <w:r>
        <w:rPr>
          <w:rFonts w:ascii="Times New Roman" w:hAnsi="Times New Roman"/>
          <w:sz w:val="24"/>
          <w:szCs w:val="24"/>
        </w:rPr>
        <w:t>s së tij me</w:t>
      </w:r>
      <w:r w:rsidRPr="008A20D8">
        <w:rPr>
          <w:rFonts w:ascii="Times New Roman" w:hAnsi="Times New Roman"/>
          <w:sz w:val="24"/>
          <w:szCs w:val="24"/>
        </w:rPr>
        <w:t xml:space="preserve"> shërbim</w:t>
      </w:r>
      <w:r>
        <w:rPr>
          <w:rFonts w:ascii="Times New Roman" w:hAnsi="Times New Roman"/>
          <w:sz w:val="24"/>
          <w:szCs w:val="24"/>
        </w:rPr>
        <w:t>et që ofrohen nga</w:t>
      </w:r>
      <w:r w:rsidRPr="008A20D8">
        <w:rPr>
          <w:rFonts w:ascii="Times New Roman" w:hAnsi="Times New Roman"/>
          <w:sz w:val="24"/>
          <w:szCs w:val="24"/>
        </w:rPr>
        <w:t xml:space="preserve"> AMS</w:t>
      </w:r>
      <w:r>
        <w:rPr>
          <w:rFonts w:ascii="Times New Roman" w:hAnsi="Times New Roman"/>
          <w:sz w:val="24"/>
          <w:szCs w:val="24"/>
        </w:rPr>
        <w:t>/</w:t>
      </w:r>
      <w:r w:rsidRPr="008A20D8">
        <w:rPr>
          <w:rFonts w:ascii="Times New Roman" w:hAnsi="Times New Roman"/>
          <w:i/>
          <w:sz w:val="24"/>
          <w:szCs w:val="24"/>
        </w:rPr>
        <w:t>e-Albania</w:t>
      </w:r>
      <w:r w:rsidRPr="008A20D8">
        <w:rPr>
          <w:rFonts w:ascii="Times New Roman" w:hAnsi="Times New Roman"/>
          <w:sz w:val="24"/>
          <w:szCs w:val="24"/>
        </w:rPr>
        <w:t>, në bashkëpunim më Agjencinë Kombëtare të Shoqërisë së Informacionit;</w:t>
      </w:r>
    </w:p>
    <w:p w:rsidR="00A80E26" w:rsidRPr="00000F0F" w:rsidRDefault="00A80E26" w:rsidP="00A80E26">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shtimi i burimeve njerëzore dhe financiare për forcimin e kapaciteteve administrative në kuadër të harmonizimit integral të legjislacionit në të dy fushat e përgjegjësisë;</w:t>
      </w:r>
    </w:p>
    <w:p w:rsidR="00A80E26" w:rsidRPr="00000F0F" w:rsidRDefault="00A80E26" w:rsidP="00A80E26">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lastRenderedPageBreak/>
        <w:t>përmirësimi i kapa</w:t>
      </w:r>
      <w:r>
        <w:rPr>
          <w:rFonts w:ascii="Times New Roman" w:hAnsi="Times New Roman"/>
          <w:sz w:val="24"/>
          <w:szCs w:val="24"/>
        </w:rPr>
        <w:t>citeteve profesionale të stafit</w:t>
      </w:r>
      <w:r w:rsidRPr="00000F0F">
        <w:rPr>
          <w:rFonts w:ascii="Times New Roman" w:hAnsi="Times New Roman"/>
          <w:sz w:val="24"/>
          <w:szCs w:val="24"/>
        </w:rPr>
        <w:t xml:space="preserve"> me fokus të veçant</w:t>
      </w:r>
      <w:r>
        <w:rPr>
          <w:rFonts w:ascii="Times New Roman" w:hAnsi="Times New Roman"/>
          <w:sz w:val="24"/>
          <w:szCs w:val="24"/>
        </w:rPr>
        <w:t>ë, thellimin e njohurive në teknolo</w:t>
      </w:r>
      <w:r w:rsidRPr="00000F0F">
        <w:rPr>
          <w:rFonts w:ascii="Times New Roman" w:hAnsi="Times New Roman"/>
          <w:sz w:val="24"/>
          <w:szCs w:val="24"/>
        </w:rPr>
        <w:t>gjitë e informacionit dhe komunikimit (TIK), si detyrime specifike që burojnë nga legjislacioni i përmirësuar;</w:t>
      </w:r>
    </w:p>
    <w:p w:rsidR="00A80E26" w:rsidRPr="006C3461" w:rsidRDefault="00A80E26" w:rsidP="00A80E26">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komunikimi proaktiv me au</w:t>
      </w:r>
      <w:r>
        <w:rPr>
          <w:rFonts w:ascii="Times New Roman" w:hAnsi="Times New Roman"/>
          <w:sz w:val="24"/>
          <w:szCs w:val="24"/>
        </w:rPr>
        <w:t>toritetet</w:t>
      </w:r>
      <w:r w:rsidRPr="00000F0F">
        <w:rPr>
          <w:rFonts w:ascii="Times New Roman" w:hAnsi="Times New Roman"/>
          <w:sz w:val="24"/>
          <w:szCs w:val="24"/>
        </w:rPr>
        <w:t xml:space="preserve"> publike për konsolidimin e kulturës së transparencës</w:t>
      </w:r>
      <w:r>
        <w:rPr>
          <w:rFonts w:ascii="Times New Roman" w:hAnsi="Times New Roman"/>
          <w:sz w:val="24"/>
          <w:szCs w:val="24"/>
        </w:rPr>
        <w:t>, f</w:t>
      </w:r>
      <w:r w:rsidRPr="006C3461">
        <w:rPr>
          <w:rFonts w:ascii="Times New Roman" w:hAnsi="Times New Roman"/>
          <w:sz w:val="24"/>
          <w:szCs w:val="24"/>
        </w:rPr>
        <w:t>orcimi i rolit dhe kapaciteteve të koordinatorit të të drejtës për informim</w:t>
      </w:r>
      <w:r>
        <w:rPr>
          <w:rFonts w:ascii="Times New Roman" w:hAnsi="Times New Roman"/>
          <w:sz w:val="24"/>
          <w:szCs w:val="24"/>
        </w:rPr>
        <w:t xml:space="preserve"> dhe </w:t>
      </w:r>
      <w:r w:rsidRPr="006C3461">
        <w:rPr>
          <w:rFonts w:ascii="Times New Roman" w:hAnsi="Times New Roman"/>
          <w:sz w:val="24"/>
          <w:szCs w:val="24"/>
        </w:rPr>
        <w:t xml:space="preserve">trajnimi periodik </w:t>
      </w:r>
      <w:r>
        <w:rPr>
          <w:rFonts w:ascii="Times New Roman" w:hAnsi="Times New Roman"/>
          <w:sz w:val="24"/>
          <w:szCs w:val="24"/>
        </w:rPr>
        <w:t>i</w:t>
      </w:r>
      <w:r w:rsidRPr="006C3461">
        <w:rPr>
          <w:rFonts w:ascii="Times New Roman" w:hAnsi="Times New Roman"/>
          <w:sz w:val="24"/>
          <w:szCs w:val="24"/>
        </w:rPr>
        <w:t xml:space="preserve"> koordinator</w:t>
      </w:r>
      <w:r>
        <w:rPr>
          <w:rFonts w:ascii="Times New Roman" w:hAnsi="Times New Roman"/>
          <w:sz w:val="24"/>
          <w:szCs w:val="24"/>
        </w:rPr>
        <w:t>ëve për të drejtën e informimit veçanërisht</w:t>
      </w:r>
      <w:r w:rsidRPr="006C3461">
        <w:rPr>
          <w:rFonts w:ascii="Times New Roman" w:hAnsi="Times New Roman"/>
          <w:sz w:val="24"/>
          <w:szCs w:val="24"/>
        </w:rPr>
        <w:t xml:space="preserve"> për trajtimin e çështjeve me interes publik në balancë me kufizimet për dhënien e informacionit;</w:t>
      </w:r>
    </w:p>
    <w:p w:rsidR="00A80E26" w:rsidRDefault="00A80E26" w:rsidP="00A80E26">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nxitj</w:t>
      </w:r>
      <w:r>
        <w:rPr>
          <w:rFonts w:ascii="Times New Roman" w:hAnsi="Times New Roman"/>
          <w:sz w:val="24"/>
          <w:szCs w:val="24"/>
        </w:rPr>
        <w:t>a</w:t>
      </w:r>
      <w:r w:rsidRPr="00000F0F">
        <w:rPr>
          <w:rFonts w:ascii="Times New Roman" w:hAnsi="Times New Roman"/>
          <w:sz w:val="24"/>
          <w:szCs w:val="24"/>
        </w:rPr>
        <w:t xml:space="preserve"> e qasjes së re të kontrolluesve/përpunuesve përsa i përket garantimit efektiv të sigurisë së informacionit (SMSI) në proceset përpunuese;</w:t>
      </w:r>
    </w:p>
    <w:p w:rsidR="00A80E26" w:rsidRPr="006C3461" w:rsidRDefault="00A80E26" w:rsidP="00A80E26">
      <w:pPr>
        <w:pStyle w:val="ListParagraph"/>
        <w:numPr>
          <w:ilvl w:val="0"/>
          <w:numId w:val="10"/>
        </w:numPr>
        <w:spacing w:after="160"/>
        <w:jc w:val="both"/>
        <w:rPr>
          <w:rFonts w:ascii="Times New Roman" w:hAnsi="Times New Roman"/>
          <w:sz w:val="24"/>
          <w:szCs w:val="24"/>
        </w:rPr>
      </w:pPr>
      <w:r w:rsidRPr="006C3461">
        <w:rPr>
          <w:rFonts w:ascii="Times New Roman" w:hAnsi="Times New Roman"/>
          <w:sz w:val="24"/>
          <w:szCs w:val="24"/>
        </w:rPr>
        <w:t>rol aktiv në zgjerimin e rrjetit të nëpunësve për mbrojtjen e të dhënave personale dhe forcimin e kapaciteteve profesionale për përmbushjen e detyrimeve ligjore</w:t>
      </w:r>
      <w:r>
        <w:rPr>
          <w:rFonts w:ascii="Times New Roman" w:hAnsi="Times New Roman"/>
          <w:sz w:val="24"/>
          <w:szCs w:val="24"/>
        </w:rPr>
        <w:t>;</w:t>
      </w:r>
      <w:r w:rsidRPr="006C3461">
        <w:rPr>
          <w:rFonts w:ascii="Times New Roman" w:hAnsi="Times New Roman"/>
          <w:sz w:val="24"/>
          <w:szCs w:val="24"/>
        </w:rPr>
        <w:t xml:space="preserve"> </w:t>
      </w:r>
    </w:p>
    <w:p w:rsidR="00A80E26" w:rsidRPr="006C3461" w:rsidRDefault="00A80E26" w:rsidP="00A80E26">
      <w:pPr>
        <w:pStyle w:val="ListParagraph"/>
        <w:numPr>
          <w:ilvl w:val="0"/>
          <w:numId w:val="10"/>
        </w:numPr>
        <w:spacing w:after="160"/>
        <w:jc w:val="both"/>
        <w:rPr>
          <w:rFonts w:ascii="Times New Roman" w:hAnsi="Times New Roman"/>
          <w:sz w:val="24"/>
          <w:szCs w:val="24"/>
        </w:rPr>
      </w:pPr>
      <w:r w:rsidRPr="006C3461">
        <w:rPr>
          <w:rFonts w:ascii="Times New Roman" w:hAnsi="Times New Roman"/>
          <w:sz w:val="24"/>
          <w:szCs w:val="24"/>
        </w:rPr>
        <w:t>programimi i masave në kuadër të zhvillimit të edicionit të 15-të të Konferencës Ndërkombëtare të Komisionerëve të Informimit në Tiranë më 2024;</w:t>
      </w:r>
    </w:p>
    <w:p w:rsidR="00A80E26" w:rsidRPr="00000F0F" w:rsidRDefault="00A80E26" w:rsidP="00A80E26">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 xml:space="preserve">rol aktiv në kuadër të organizmave ndërkombëtare ku Zyra e Komisionerit </w:t>
      </w:r>
      <w:r w:rsidRPr="00C762C8">
        <w:rPr>
          <w:rFonts w:ascii="Times New Roman" w:hAnsi="Times New Roman"/>
          <w:sz w:val="24"/>
          <w:szCs w:val="24"/>
        </w:rPr>
        <w:t>është pjesë</w:t>
      </w:r>
      <w:r>
        <w:rPr>
          <w:rFonts w:ascii="Times New Roman" w:hAnsi="Times New Roman"/>
          <w:sz w:val="24"/>
          <w:szCs w:val="24"/>
        </w:rPr>
        <w:t xml:space="preserve"> </w:t>
      </w:r>
      <w:r w:rsidRPr="00000F0F">
        <w:rPr>
          <w:rFonts w:ascii="Times New Roman" w:hAnsi="Times New Roman"/>
          <w:sz w:val="24"/>
          <w:szCs w:val="24"/>
        </w:rPr>
        <w:t xml:space="preserve">si dhe me autoritetet homologe në të dy fushat e përgjegjësisë; </w:t>
      </w:r>
    </w:p>
    <w:p w:rsidR="004A1A46" w:rsidRPr="00A80E26" w:rsidRDefault="00A80E26" w:rsidP="00A80E26">
      <w:pPr>
        <w:pStyle w:val="ListParagraph"/>
        <w:numPr>
          <w:ilvl w:val="0"/>
          <w:numId w:val="10"/>
        </w:numPr>
        <w:spacing w:after="160"/>
        <w:jc w:val="both"/>
        <w:rPr>
          <w:rFonts w:ascii="Times New Roman" w:hAnsi="Times New Roman"/>
          <w:sz w:val="24"/>
          <w:szCs w:val="24"/>
        </w:rPr>
      </w:pPr>
      <w:r w:rsidRPr="00000F0F">
        <w:rPr>
          <w:rFonts w:ascii="Times New Roman" w:hAnsi="Times New Roman"/>
          <w:sz w:val="24"/>
          <w:szCs w:val="24"/>
        </w:rPr>
        <w:t>aplikimi për përfitimin e projekteve nga programe të asistencës nga fondet IPA të BE dhe/ose donatorë të tjerë, në funksion të rritjes së kapaciteteve profesionale.</w:t>
      </w:r>
    </w:p>
    <w:p w:rsidR="00A80E26" w:rsidRDefault="00DD07BD" w:rsidP="00A80E26">
      <w:pPr>
        <w:spacing w:line="276" w:lineRule="auto"/>
        <w:jc w:val="both"/>
      </w:pPr>
      <w:r w:rsidRPr="00000F0F">
        <w:rPr>
          <w:color w:val="0D0D0D" w:themeColor="text1" w:themeTint="F2"/>
        </w:rPr>
        <w:t xml:space="preserve">Në përdorimin e fondeve buxhetore, </w:t>
      </w:r>
      <w:r w:rsidR="00006A86" w:rsidRPr="00000F0F">
        <w:rPr>
          <w:color w:val="0D0D0D" w:themeColor="text1" w:themeTint="F2"/>
        </w:rPr>
        <w:t>Zyra e Komisionerit ë</w:t>
      </w:r>
      <w:r w:rsidRPr="00000F0F">
        <w:rPr>
          <w:color w:val="0D0D0D" w:themeColor="text1" w:themeTint="F2"/>
        </w:rPr>
        <w:t>sht</w:t>
      </w:r>
      <w:r w:rsidR="00006A86" w:rsidRPr="00000F0F">
        <w:rPr>
          <w:color w:val="0D0D0D" w:themeColor="text1" w:themeTint="F2"/>
        </w:rPr>
        <w:t>ë</w:t>
      </w:r>
      <w:r w:rsidRPr="00000F0F">
        <w:rPr>
          <w:color w:val="0D0D0D" w:themeColor="text1" w:themeTint="F2"/>
        </w:rPr>
        <w:t xml:space="preserve"> mbështetur në parimet e menaxhimit dhe mirëfunksionimit të sistemit buxhetor. </w:t>
      </w:r>
      <w:r w:rsidR="001553F2">
        <w:t xml:space="preserve">Zyra e Komisionerit </w:t>
      </w:r>
      <w:r w:rsidR="00A80E26">
        <w:t>vijon të mbajë të njëjtin qëndrim lidhur me mospërfshirjen dhe plotësimin e PBA-së por edhe t</w:t>
      </w:r>
      <w:r w:rsidR="009150BD">
        <w:t>ë</w:t>
      </w:r>
      <w:r w:rsidR="00A80E26">
        <w:t xml:space="preserve"> moduleve t</w:t>
      </w:r>
      <w:r w:rsidR="009150BD">
        <w:t>ë</w:t>
      </w:r>
      <w:r w:rsidR="00A80E26">
        <w:t xml:space="preserve"> tjera në sistemin AFMIS</w:t>
      </w:r>
      <w:r w:rsidR="009150BD">
        <w:t xml:space="preserve">, </w:t>
      </w:r>
      <w:r w:rsidR="00A80E26">
        <w:t xml:space="preserve"> deri në marrjen e masave për përpunimin e të dhënave të përdoruesve gjatë autentifikimit në sistemin AFMIS, sipas rekomandimeve të dhëna nga KDIMDP. Në funksion të zbatimit të rekomandimit të Zyrës së Komisionerit lidhur me këtë sistem, do të shihet edhe mundësia e  plotësimit   të moduleve dhe  gjenerimin e formateve më pas. Në raportimin  p</w:t>
      </w:r>
      <w:r w:rsidR="009150BD">
        <w:t>ë</w:t>
      </w:r>
      <w:r w:rsidR="00A80E26">
        <w:t>r periudh</w:t>
      </w:r>
      <w:r w:rsidR="009150BD">
        <w:t>ë</w:t>
      </w:r>
      <w:r w:rsidR="00A80E26">
        <w:t xml:space="preserve">n Janar- </w:t>
      </w:r>
      <w:r w:rsidR="009150BD">
        <w:t>P</w:t>
      </w:r>
      <w:r w:rsidR="00A80E26">
        <w:t xml:space="preserve">rill </w:t>
      </w:r>
      <w:r w:rsidR="009150BD">
        <w:t>ë</w:t>
      </w:r>
      <w:r w:rsidR="00A80E26">
        <w:t>sht</w:t>
      </w:r>
      <w:r w:rsidR="009150BD">
        <w:t>ë</w:t>
      </w:r>
      <w:r w:rsidR="00A80E26">
        <w:t xml:space="preserve"> </w:t>
      </w:r>
      <w:r w:rsidR="009150BD">
        <w:t xml:space="preserve"> </w:t>
      </w:r>
      <w:r w:rsidR="00A80E26">
        <w:t xml:space="preserve"> </w:t>
      </w:r>
      <w:r w:rsidR="009150BD">
        <w:t xml:space="preserve"> </w:t>
      </w:r>
      <w:r w:rsidR="00A80E26">
        <w:t xml:space="preserve"> argument</w:t>
      </w:r>
      <w:r w:rsidR="009150BD">
        <w:t xml:space="preserve">uar me gjerësisht </w:t>
      </w:r>
      <w:r w:rsidR="00A80E26">
        <w:t xml:space="preserve"> </w:t>
      </w:r>
      <w:r w:rsidR="009150BD">
        <w:t xml:space="preserve"> </w:t>
      </w:r>
      <w:r w:rsidR="00A80E26">
        <w:t>mosp</w:t>
      </w:r>
      <w:r w:rsidR="00363F52">
        <w:t>ë</w:t>
      </w:r>
      <w:r w:rsidR="00A80E26">
        <w:t>rfshirj</w:t>
      </w:r>
      <w:r w:rsidR="009150BD">
        <w:t xml:space="preserve">a </w:t>
      </w:r>
      <w:r w:rsidR="00A80E26">
        <w:t>n</w:t>
      </w:r>
      <w:r w:rsidR="00363F52">
        <w:t>ë</w:t>
      </w:r>
      <w:r w:rsidR="00A80E26">
        <w:t xml:space="preserve"> AFMIS. </w:t>
      </w:r>
    </w:p>
    <w:p w:rsidR="00F558AE" w:rsidRPr="00000F0F" w:rsidRDefault="00F558AE" w:rsidP="00000F0F">
      <w:pPr>
        <w:spacing w:line="276" w:lineRule="auto"/>
        <w:jc w:val="both"/>
      </w:pPr>
    </w:p>
    <w:p w:rsidR="00F558AE" w:rsidRPr="00000F0F" w:rsidRDefault="00F558AE" w:rsidP="00000F0F">
      <w:pPr>
        <w:spacing w:line="276" w:lineRule="auto"/>
        <w:jc w:val="both"/>
      </w:pPr>
      <w:r w:rsidRPr="00000F0F">
        <w:t xml:space="preserve">Për Zyrën e </w:t>
      </w:r>
      <w:r w:rsidRPr="00000F0F">
        <w:rPr>
          <w:rFonts w:eastAsia="Batang"/>
        </w:rPr>
        <w:t xml:space="preserve">Komisionerit </w:t>
      </w:r>
      <w:r w:rsidRPr="00000F0F">
        <w:t>është miratuar vetëm një program buxhetor</w:t>
      </w:r>
      <w:r w:rsidR="002A3C97" w:rsidRPr="00000F0F">
        <w:t xml:space="preserve"> “</w:t>
      </w:r>
      <w:r w:rsidRPr="00000F0F">
        <w:t xml:space="preserve">Planifikim, menaxhim, administrim”,  buxheti i së cilës konsiston në mbështetjen logjistike të ushtrimit të kompetencave e funksioneve të zyrës, në drejtim të </w:t>
      </w:r>
      <w:r w:rsidRPr="00000F0F">
        <w:rPr>
          <w:lang w:eastAsia="en-US"/>
        </w:rPr>
        <w:t xml:space="preserve">monitorimit të ligjeve respektive, </w:t>
      </w:r>
      <w:r w:rsidRPr="00000F0F">
        <w:t xml:space="preserve">për arritjen e objektivave të përcaktuara për këtë program buxhetor. </w:t>
      </w:r>
    </w:p>
    <w:p w:rsidR="00F558AE" w:rsidRPr="00000F0F" w:rsidRDefault="00F558AE" w:rsidP="00000F0F">
      <w:pPr>
        <w:pStyle w:val="BodyText"/>
        <w:spacing w:after="0" w:line="276" w:lineRule="auto"/>
        <w:jc w:val="both"/>
        <w:rPr>
          <w:color w:val="0D0D0D" w:themeColor="text1" w:themeTint="F2"/>
        </w:rPr>
      </w:pPr>
    </w:p>
    <w:p w:rsidR="00DD3A37" w:rsidRPr="00000F0F" w:rsidRDefault="000F7C1E" w:rsidP="00000F0F">
      <w:pPr>
        <w:pStyle w:val="BodyText"/>
        <w:spacing w:after="0" w:line="276" w:lineRule="auto"/>
        <w:jc w:val="both"/>
        <w:rPr>
          <w:color w:val="0D0D0D" w:themeColor="text1" w:themeTint="F2"/>
        </w:rPr>
      </w:pPr>
      <w:r w:rsidRPr="00000F0F">
        <w:rPr>
          <w:color w:val="0D0D0D" w:themeColor="text1" w:themeTint="F2"/>
        </w:rPr>
        <w:t xml:space="preserve">Produkti i vetëm i Programit 0110, është </w:t>
      </w:r>
      <w:r w:rsidRPr="00000F0F">
        <w:rPr>
          <w:b/>
          <w:color w:val="0D0D0D" w:themeColor="text1" w:themeTint="F2"/>
        </w:rPr>
        <w:t>Mbikëqyrje/inspektime të kryera &amp; ankesa</w:t>
      </w:r>
      <w:r w:rsidR="00E07A12" w:rsidRPr="00000F0F">
        <w:rPr>
          <w:b/>
          <w:color w:val="0D0D0D" w:themeColor="text1" w:themeTint="F2"/>
        </w:rPr>
        <w:t xml:space="preserve"> të trajtuara,</w:t>
      </w:r>
      <w:r w:rsidR="00E07A12" w:rsidRPr="00000F0F">
        <w:rPr>
          <w:color w:val="0D0D0D" w:themeColor="text1" w:themeTint="F2"/>
        </w:rPr>
        <w:t xml:space="preserve"> ku parashikimi </w:t>
      </w:r>
      <w:r w:rsidR="00AA1988" w:rsidRPr="00000F0F">
        <w:rPr>
          <w:color w:val="0D0D0D" w:themeColor="text1" w:themeTint="F2"/>
        </w:rPr>
        <w:t xml:space="preserve">është </w:t>
      </w:r>
      <w:r w:rsidRPr="00000F0F">
        <w:rPr>
          <w:b/>
          <w:color w:val="0D0D0D" w:themeColor="text1" w:themeTint="F2"/>
        </w:rPr>
        <w:t>nr.</w:t>
      </w:r>
      <w:r w:rsidR="009150BD">
        <w:rPr>
          <w:b/>
          <w:color w:val="0D0D0D" w:themeColor="text1" w:themeTint="F2"/>
        </w:rPr>
        <w:t xml:space="preserve"> 1830 veprime </w:t>
      </w:r>
    </w:p>
    <w:p w:rsidR="00867200" w:rsidRPr="00000F0F" w:rsidRDefault="00867200" w:rsidP="00000F0F">
      <w:pPr>
        <w:pStyle w:val="BodyText"/>
        <w:spacing w:after="0" w:line="276" w:lineRule="auto"/>
        <w:jc w:val="both"/>
        <w:rPr>
          <w:b/>
        </w:rPr>
      </w:pPr>
    </w:p>
    <w:p w:rsidR="00CA3D5C" w:rsidRPr="00000F0F" w:rsidRDefault="00CA3D5C" w:rsidP="00000F0F">
      <w:pPr>
        <w:pStyle w:val="BodyText"/>
        <w:spacing w:after="0" w:line="276" w:lineRule="auto"/>
        <w:jc w:val="both"/>
        <w:rPr>
          <w:b/>
        </w:rPr>
      </w:pPr>
      <w:r w:rsidRPr="00000F0F">
        <w:rPr>
          <w:b/>
        </w:rPr>
        <w:t xml:space="preserve">E drejta e informimit : </w:t>
      </w:r>
    </w:p>
    <w:p w:rsidR="00CA3D5C" w:rsidRPr="00000F0F" w:rsidRDefault="00CA3D5C" w:rsidP="00000F0F">
      <w:pPr>
        <w:pStyle w:val="BodyText"/>
        <w:spacing w:after="0" w:line="276" w:lineRule="auto"/>
        <w:jc w:val="both"/>
      </w:pPr>
    </w:p>
    <w:p w:rsidR="00CA3D5C" w:rsidRPr="00000F0F" w:rsidRDefault="00CA3D5C" w:rsidP="00000F0F">
      <w:pPr>
        <w:pStyle w:val="ListParagraph"/>
        <w:numPr>
          <w:ilvl w:val="0"/>
          <w:numId w:val="3"/>
        </w:numPr>
        <w:jc w:val="both"/>
        <w:rPr>
          <w:rFonts w:ascii="Times New Roman" w:hAnsi="Times New Roman"/>
          <w:b/>
          <w:sz w:val="24"/>
          <w:szCs w:val="24"/>
        </w:rPr>
      </w:pPr>
      <w:r w:rsidRPr="00000F0F">
        <w:rPr>
          <w:rFonts w:ascii="Times New Roman" w:hAnsi="Times New Roman"/>
          <w:b/>
          <w:sz w:val="24"/>
          <w:szCs w:val="24"/>
        </w:rPr>
        <w:t>Autoritetet Publike me programe dhe transparencë të plotë</w:t>
      </w:r>
    </w:p>
    <w:p w:rsidR="00CA3D5C" w:rsidRPr="00000F0F" w:rsidRDefault="00CA3D5C" w:rsidP="00000F0F">
      <w:pPr>
        <w:spacing w:line="276" w:lineRule="auto"/>
        <w:jc w:val="both"/>
        <w:rPr>
          <w:rFonts w:eastAsia="Calibri"/>
        </w:rPr>
      </w:pPr>
      <w:r w:rsidRPr="00000F0F">
        <w:t xml:space="preserve">Sigurimi i Transparencës së veprimtarisë së Autoriteteve Publike, nëpërmjet realizimit të proceseve të monitorimit/mbikëqyrjes së elementëve të ndryshëm të zbatimit të ligjit për </w:t>
      </w:r>
      <w:r w:rsidR="002C4ED1" w:rsidRPr="00000F0F">
        <w:t>të drejtën e informimit, të auto</w:t>
      </w:r>
      <w:r w:rsidRPr="00000F0F">
        <w:t>riteteve publike</w:t>
      </w:r>
      <w:r w:rsidRPr="00000F0F">
        <w:rPr>
          <w:rFonts w:eastAsia="Calibri"/>
        </w:rPr>
        <w:t>, të cilat kanë hartuar dhe/ose përditësuar programin e transparencës, forcimin e rolit të koordinatorit për të drejtën e informimit, përditësimi</w:t>
      </w:r>
      <w:r w:rsidR="002C4ED1" w:rsidRPr="00000F0F">
        <w:rPr>
          <w:rFonts w:eastAsia="Calibri"/>
        </w:rPr>
        <w:t xml:space="preserve"> në regjistrin</w:t>
      </w:r>
      <w:r w:rsidRPr="00000F0F">
        <w:rPr>
          <w:rFonts w:eastAsia="Calibri"/>
        </w:rPr>
        <w:t xml:space="preserve"> të kërkesave dhe përgjigjeve, shqyrtimin</w:t>
      </w:r>
      <w:r w:rsidR="002C4ED1" w:rsidRPr="00000F0F">
        <w:rPr>
          <w:rFonts w:eastAsia="Calibri"/>
        </w:rPr>
        <w:t xml:space="preserve"> </w:t>
      </w:r>
      <w:r w:rsidRPr="00000F0F">
        <w:rPr>
          <w:rFonts w:eastAsia="Calibri"/>
        </w:rPr>
        <w:t>e ankesave, kryerjen</w:t>
      </w:r>
      <w:r w:rsidR="002C4ED1" w:rsidRPr="00000F0F">
        <w:rPr>
          <w:rFonts w:eastAsia="Calibri"/>
        </w:rPr>
        <w:t xml:space="preserve"> </w:t>
      </w:r>
      <w:r w:rsidRPr="00000F0F">
        <w:rPr>
          <w:rFonts w:eastAsia="Calibri"/>
        </w:rPr>
        <w:t xml:space="preserve">e </w:t>
      </w:r>
      <w:r w:rsidRPr="00000F0F">
        <w:rPr>
          <w:rFonts w:eastAsia="Calibri"/>
        </w:rPr>
        <w:lastRenderedPageBreak/>
        <w:t xml:space="preserve">hetimeve administrative, seancave dëgjimore dhe dhënien e rekomandimeve e vendimeve. </w:t>
      </w:r>
    </w:p>
    <w:p w:rsidR="00CA3D5C" w:rsidRPr="00000F0F" w:rsidRDefault="00CA3D5C" w:rsidP="00000F0F">
      <w:pPr>
        <w:spacing w:line="276" w:lineRule="auto"/>
        <w:jc w:val="both"/>
      </w:pPr>
    </w:p>
    <w:p w:rsidR="00CA3D5C" w:rsidRPr="00000F0F" w:rsidRDefault="00CA3D5C" w:rsidP="00000F0F">
      <w:pPr>
        <w:pStyle w:val="ListParagraph"/>
        <w:numPr>
          <w:ilvl w:val="0"/>
          <w:numId w:val="3"/>
        </w:numPr>
        <w:spacing w:after="160"/>
        <w:jc w:val="both"/>
        <w:rPr>
          <w:rFonts w:ascii="Times New Roman" w:hAnsi="Times New Roman"/>
          <w:sz w:val="24"/>
          <w:szCs w:val="24"/>
        </w:rPr>
      </w:pPr>
      <w:r w:rsidRPr="00000F0F">
        <w:rPr>
          <w:rFonts w:ascii="Times New Roman" w:hAnsi="Times New Roman"/>
          <w:b/>
          <w:sz w:val="24"/>
          <w:szCs w:val="24"/>
        </w:rPr>
        <w:t>Trajtim i ankesave brenda</w:t>
      </w:r>
      <w:r w:rsidRPr="00000F0F">
        <w:rPr>
          <w:rFonts w:ascii="Times New Roman" w:hAnsi="Times New Roman"/>
          <w:sz w:val="24"/>
          <w:szCs w:val="24"/>
        </w:rPr>
        <w:t xml:space="preserve"> afateve dhe (kthim përgjigje/inspektime/vendime, kryesisht në bazë të ankesave).</w:t>
      </w:r>
    </w:p>
    <w:p w:rsidR="00CA3D5C" w:rsidRPr="00000F0F" w:rsidRDefault="00CA3D5C" w:rsidP="00000F0F">
      <w:pPr>
        <w:spacing w:after="160" w:line="276" w:lineRule="auto"/>
        <w:jc w:val="both"/>
      </w:pPr>
      <w:r w:rsidRPr="00000F0F">
        <w:t>Ankesa të trajtuara në kuadër të parashikimeve të Ligjit “Për të Drejtën e Informimit” si dhe Ligjit “Për njoft</w:t>
      </w:r>
      <w:r w:rsidR="00A21D52" w:rsidRPr="00000F0F">
        <w:t>i</w:t>
      </w:r>
      <w:r w:rsidRPr="00000F0F">
        <w:t>min dhe konsultimin publik”, hetime të kryera, seanca dëgjimore të zhvilluara si dhe vendime të dhëna, duke rritur në këtë mënyrë kontrollin mbi veprimtarinë e administratës publike, garantimi i të drejtave të qytetarëve dhe aksesi në informacion.</w:t>
      </w:r>
    </w:p>
    <w:p w:rsidR="00CA3D5C" w:rsidRPr="00000F0F" w:rsidRDefault="00CA3D5C" w:rsidP="00000F0F">
      <w:pPr>
        <w:spacing w:line="276" w:lineRule="auto"/>
        <w:jc w:val="both"/>
        <w:rPr>
          <w:b/>
        </w:rPr>
      </w:pPr>
      <w:r w:rsidRPr="00000F0F">
        <w:rPr>
          <w:b/>
        </w:rPr>
        <w:t xml:space="preserve">Mbrojtja e të dhënave personale </w:t>
      </w:r>
    </w:p>
    <w:p w:rsidR="00CA3D5C" w:rsidRPr="00000F0F" w:rsidRDefault="00CA3D5C" w:rsidP="00000F0F">
      <w:pPr>
        <w:pStyle w:val="BodyText"/>
        <w:spacing w:after="0" w:line="276" w:lineRule="auto"/>
        <w:jc w:val="both"/>
      </w:pPr>
    </w:p>
    <w:p w:rsidR="00CA3D5C" w:rsidRPr="00000F0F" w:rsidRDefault="00CA3D5C" w:rsidP="00000F0F">
      <w:pPr>
        <w:pStyle w:val="BodyText"/>
        <w:numPr>
          <w:ilvl w:val="0"/>
          <w:numId w:val="3"/>
        </w:numPr>
        <w:spacing w:after="0" w:line="276" w:lineRule="auto"/>
        <w:jc w:val="both"/>
        <w:rPr>
          <w:b/>
        </w:rPr>
      </w:pPr>
      <w:r w:rsidRPr="00000F0F">
        <w:rPr>
          <w:b/>
        </w:rPr>
        <w:t>Mbikëqyrje dhe inspektime.</w:t>
      </w:r>
    </w:p>
    <w:p w:rsidR="00CA3D5C" w:rsidRPr="00000F0F" w:rsidRDefault="00CA3D5C" w:rsidP="00000F0F">
      <w:pPr>
        <w:pStyle w:val="BodyText"/>
        <w:spacing w:after="0" w:line="276" w:lineRule="auto"/>
        <w:ind w:left="720"/>
        <w:jc w:val="both"/>
        <w:rPr>
          <w:b/>
        </w:rPr>
      </w:pPr>
    </w:p>
    <w:p w:rsidR="00CA3D5C" w:rsidRPr="00000F0F" w:rsidRDefault="00CA3D5C" w:rsidP="00000F0F">
      <w:pPr>
        <w:pStyle w:val="BodyText"/>
        <w:spacing w:after="0" w:line="276" w:lineRule="auto"/>
        <w:jc w:val="both"/>
      </w:pPr>
      <w:r w:rsidRPr="00000F0F">
        <w:t xml:space="preserve">Nëpërmjet procedurave për realizimin e këtij produkti do të bëhet e mundur minimizimi i rrezikut të cënimit të privatësisë dhe mbrojtjes së të dhënave personale; Ndërgjegjësimi dhe disiplinimi i kontrolluesve; Krijimi i praktikës së mirë për kontrolluesit. </w:t>
      </w:r>
    </w:p>
    <w:p w:rsidR="00CA3D5C" w:rsidRPr="00000F0F" w:rsidRDefault="00CA3D5C" w:rsidP="00000F0F">
      <w:pPr>
        <w:pStyle w:val="BodyText"/>
        <w:spacing w:after="0" w:line="276" w:lineRule="auto"/>
        <w:jc w:val="both"/>
      </w:pPr>
    </w:p>
    <w:p w:rsidR="00CA3D5C" w:rsidRPr="00000F0F" w:rsidRDefault="00CA3D5C" w:rsidP="00000F0F">
      <w:pPr>
        <w:pStyle w:val="ListParagraph"/>
        <w:numPr>
          <w:ilvl w:val="0"/>
          <w:numId w:val="3"/>
        </w:numPr>
        <w:jc w:val="both"/>
        <w:rPr>
          <w:rFonts w:ascii="Times New Roman" w:hAnsi="Times New Roman"/>
          <w:b/>
          <w:sz w:val="24"/>
          <w:szCs w:val="24"/>
        </w:rPr>
      </w:pPr>
      <w:r w:rsidRPr="00000F0F">
        <w:rPr>
          <w:rFonts w:ascii="Times New Roman" w:hAnsi="Times New Roman"/>
          <w:b/>
          <w:sz w:val="24"/>
          <w:szCs w:val="24"/>
        </w:rPr>
        <w:t>Ankesa të trajtuara</w:t>
      </w:r>
    </w:p>
    <w:p w:rsidR="00A708BD" w:rsidRPr="00000F0F" w:rsidRDefault="00A708BD" w:rsidP="00000F0F">
      <w:pPr>
        <w:pStyle w:val="ListParagraph"/>
        <w:jc w:val="both"/>
        <w:rPr>
          <w:rFonts w:ascii="Times New Roman" w:hAnsi="Times New Roman"/>
          <w:b/>
          <w:sz w:val="24"/>
          <w:szCs w:val="24"/>
        </w:rPr>
      </w:pPr>
    </w:p>
    <w:p w:rsidR="00CA3D5C" w:rsidRPr="00000F0F" w:rsidRDefault="00CA3D5C" w:rsidP="00000F0F">
      <w:pPr>
        <w:pStyle w:val="ListParagraph"/>
        <w:spacing w:after="120"/>
        <w:ind w:left="0"/>
        <w:contextualSpacing w:val="0"/>
        <w:jc w:val="both"/>
        <w:rPr>
          <w:rFonts w:ascii="Times New Roman" w:hAnsi="Times New Roman"/>
          <w:bCs/>
          <w:sz w:val="24"/>
          <w:szCs w:val="24"/>
        </w:rPr>
      </w:pPr>
      <w:r w:rsidRPr="00000F0F">
        <w:rPr>
          <w:rFonts w:ascii="Times New Roman" w:hAnsi="Times New Roman"/>
          <w:sz w:val="24"/>
          <w:szCs w:val="24"/>
        </w:rPr>
        <w:t xml:space="preserve">Trajtimi në kohë i ankesave të ardhura </w:t>
      </w:r>
      <w:r w:rsidRPr="00000F0F">
        <w:rPr>
          <w:rFonts w:ascii="Times New Roman" w:hAnsi="Times New Roman"/>
          <w:bCs/>
          <w:sz w:val="24"/>
          <w:szCs w:val="24"/>
        </w:rPr>
        <w:t xml:space="preserve">nga subjektet e të dhënave personale, </w:t>
      </w:r>
      <w:r w:rsidRPr="00000F0F">
        <w:rPr>
          <w:rFonts w:ascii="Times New Roman" w:hAnsi="Times New Roman"/>
          <w:sz w:val="24"/>
          <w:szCs w:val="24"/>
        </w:rPr>
        <w:t>në kuadër të ligjshmërisë së përpunimit të të dhënave personale.</w:t>
      </w:r>
      <w:r w:rsidRPr="00000F0F">
        <w:rPr>
          <w:rFonts w:ascii="Times New Roman" w:hAnsi="Times New Roman"/>
          <w:bCs/>
          <w:sz w:val="24"/>
          <w:szCs w:val="24"/>
        </w:rPr>
        <w:t xml:space="preserve">Për zgjidhjen dhe trajtimin e ankesave ndiqen hapa procedurale si kontaktimi i vazhdueshëm me subjektin mbi paraqitjen e provave, kërkesë informacioni paraprake nga kontrolluesi, </w:t>
      </w:r>
      <w:r w:rsidRPr="00000F0F">
        <w:rPr>
          <w:rFonts w:ascii="Times New Roman" w:hAnsi="Times New Roman"/>
          <w:sz w:val="24"/>
          <w:szCs w:val="24"/>
        </w:rPr>
        <w:t xml:space="preserve">seanca dëgjimore të zhvilluara </w:t>
      </w:r>
      <w:r w:rsidRPr="00000F0F">
        <w:rPr>
          <w:rFonts w:ascii="Times New Roman" w:hAnsi="Times New Roman"/>
          <w:bCs/>
          <w:sz w:val="24"/>
          <w:szCs w:val="24"/>
        </w:rPr>
        <w:t xml:space="preserve">deri në zgjidhjen përfundimtare </w:t>
      </w:r>
      <w:r w:rsidRPr="00000F0F">
        <w:rPr>
          <w:rFonts w:ascii="Times New Roman" w:hAnsi="Times New Roman"/>
          <w:sz w:val="24"/>
          <w:szCs w:val="24"/>
        </w:rPr>
        <w:t>dhe vendimet e dhëna, duke rritur në këtë mënyrë kontrollin mbi vepr</w:t>
      </w:r>
      <w:r w:rsidR="00441F14" w:rsidRPr="00000F0F">
        <w:rPr>
          <w:rFonts w:ascii="Times New Roman" w:hAnsi="Times New Roman"/>
          <w:sz w:val="24"/>
          <w:szCs w:val="24"/>
        </w:rPr>
        <w:t>imtarinë e kontrolluesve publik e privat</w:t>
      </w:r>
      <w:r w:rsidRPr="00000F0F">
        <w:rPr>
          <w:rFonts w:ascii="Times New Roman" w:hAnsi="Times New Roman"/>
          <w:sz w:val="24"/>
          <w:szCs w:val="24"/>
        </w:rPr>
        <w:t xml:space="preserve"> </w:t>
      </w:r>
    </w:p>
    <w:p w:rsidR="00BB4A9D" w:rsidRPr="00000F0F" w:rsidRDefault="00F558AE" w:rsidP="00000F0F">
      <w:pPr>
        <w:spacing w:line="276" w:lineRule="auto"/>
        <w:jc w:val="both"/>
      </w:pPr>
      <w:r w:rsidRPr="00000F0F">
        <w:t xml:space="preserve"> </w:t>
      </w:r>
    </w:p>
    <w:p w:rsidR="00BB4A9D" w:rsidRPr="00276C7D" w:rsidRDefault="00BB4A9D" w:rsidP="00000F0F">
      <w:pPr>
        <w:spacing w:line="276" w:lineRule="auto"/>
        <w:jc w:val="both"/>
      </w:pPr>
      <w:r w:rsidRPr="00276C7D">
        <w:t xml:space="preserve">Zyra e Komisionerit  ka kryer monitorimin e buxhetit </w:t>
      </w:r>
      <w:r w:rsidR="001553F2" w:rsidRPr="00276C7D">
        <w:t>p</w:t>
      </w:r>
      <w:r w:rsidR="00946F38" w:rsidRPr="00276C7D">
        <w:t>ë</w:t>
      </w:r>
      <w:r w:rsidR="001553F2" w:rsidRPr="00276C7D">
        <w:t>r periudh</w:t>
      </w:r>
      <w:r w:rsidR="00946F38" w:rsidRPr="00276C7D">
        <w:t>ë</w:t>
      </w:r>
      <w:r w:rsidR="001553F2" w:rsidRPr="00276C7D">
        <w:t xml:space="preserve">n e </w:t>
      </w:r>
      <w:r w:rsidR="00363F52">
        <w:t>8</w:t>
      </w:r>
      <w:r w:rsidR="001553F2" w:rsidRPr="00276C7D">
        <w:t xml:space="preserve"> mujorit </w:t>
      </w:r>
      <w:r w:rsidR="00363F52">
        <w:t xml:space="preserve">e vitit </w:t>
      </w:r>
      <w:r w:rsidR="001553F2" w:rsidRPr="00276C7D">
        <w:t xml:space="preserve"> 2023</w:t>
      </w:r>
      <w:r w:rsidRPr="00276C7D">
        <w:t>, nëpërmjet vlerësimit të performancës së fondeve buxhetore dhe krahasimit të treguesve faktikë të performancës me ato të planifikuar. Nëpërmjet këtij raporti monitorimi evidentohet niveli i realizimit të fondeve buxhetore të KDIMDP-së të detajuar në nivel kategori shpenzimi buxhetor kundrejt treguesve të planifikuar, duke mundësuar në këtë mënyrë riorientimin dhe sigurimin e një informacioni shtesë për të përmirësuar procesin e planifikimit dhe të menaxhimit të buxhetit. Në vijimësi dhe strukturat respektive të KDIMDP-së kanë kryer monitorimin e treguesve buxhetore më qëllim ndjekjen e vazhdueshme të objektivave të synuar dhe të përcaktuar në Deklaratën e politikës së programit të KDIMDP-s</w:t>
      </w:r>
      <w:r w:rsidR="00363F52">
        <w:t xml:space="preserve">ë të përfshirë në Strategjinë </w:t>
      </w:r>
      <w:r w:rsidRPr="00276C7D">
        <w:t>Institucionale 2022-2025.</w:t>
      </w:r>
    </w:p>
    <w:p w:rsidR="00BB4A9D" w:rsidRPr="00276C7D" w:rsidRDefault="00BB4A9D" w:rsidP="00000F0F">
      <w:pPr>
        <w:spacing w:line="276" w:lineRule="auto"/>
        <w:jc w:val="both"/>
      </w:pPr>
    </w:p>
    <w:p w:rsidR="00363F52" w:rsidRPr="00B8309C" w:rsidRDefault="00363F52" w:rsidP="00363F52">
      <w:pPr>
        <w:spacing w:line="276" w:lineRule="auto"/>
        <w:jc w:val="both"/>
        <w:rPr>
          <w:rFonts w:eastAsia="Batang"/>
          <w:bCs/>
          <w:i/>
          <w:color w:val="0D0D0D" w:themeColor="text1" w:themeTint="F2"/>
          <w:lang w:val="pt-BR"/>
        </w:rPr>
      </w:pPr>
      <w:r w:rsidRPr="00B8309C">
        <w:t xml:space="preserve">Në mbështetje të Ligjit nr.84/2022 “Për buxhetin e vitit 2023”, dhe në vijim të udhëzimeve  të Ministrit të Financave dhe Ekonomisë nr. 9, datë 20.07.2018, “Procedurat standarde të zbatimit të buxhetit” i ndryshuar dhe </w:t>
      </w:r>
      <w:r w:rsidRPr="00B8309C">
        <w:rPr>
          <w:color w:val="0D0D0D" w:themeColor="text1" w:themeTint="F2"/>
        </w:rPr>
        <w:t xml:space="preserve">Udhëzimit plotësues nr.1, datë 19.01.2023 “Për zbatimin e buxhetit të vitit 2023”, </w:t>
      </w:r>
      <w:proofErr w:type="spellStart"/>
      <w:r w:rsidRPr="00B8309C">
        <w:rPr>
          <w:color w:val="0D0D0D"/>
          <w:lang w:val="en-US"/>
        </w:rPr>
        <w:t>fondet</w:t>
      </w:r>
      <w:proofErr w:type="spellEnd"/>
      <w:r w:rsidRPr="00B8309C">
        <w:rPr>
          <w:color w:val="0D0D0D"/>
          <w:lang w:val="en-US"/>
        </w:rPr>
        <w:t xml:space="preserve"> e </w:t>
      </w:r>
      <w:proofErr w:type="spellStart"/>
      <w:r w:rsidRPr="00B8309C">
        <w:rPr>
          <w:color w:val="0D0D0D"/>
          <w:lang w:val="en-US"/>
        </w:rPr>
        <w:t>akorduara</w:t>
      </w:r>
      <w:proofErr w:type="spellEnd"/>
      <w:r w:rsidRPr="00B8309C">
        <w:rPr>
          <w:color w:val="0D0D0D"/>
          <w:lang w:val="en-US"/>
        </w:rPr>
        <w:t xml:space="preserve"> </w:t>
      </w:r>
      <w:proofErr w:type="spellStart"/>
      <w:r w:rsidRPr="00B8309C">
        <w:rPr>
          <w:color w:val="0D0D0D"/>
          <w:lang w:val="en-US"/>
        </w:rPr>
        <w:t>për</w:t>
      </w:r>
      <w:proofErr w:type="spellEnd"/>
      <w:r w:rsidRPr="00B8309C">
        <w:rPr>
          <w:color w:val="0D0D0D"/>
          <w:lang w:val="en-US"/>
        </w:rPr>
        <w:t xml:space="preserve"> </w:t>
      </w:r>
      <w:proofErr w:type="spellStart"/>
      <w:r w:rsidRPr="00B8309C">
        <w:rPr>
          <w:color w:val="0D0D0D"/>
          <w:lang w:val="en-US"/>
        </w:rPr>
        <w:t>Zyrën</w:t>
      </w:r>
      <w:proofErr w:type="spellEnd"/>
      <w:r w:rsidRPr="00B8309C">
        <w:rPr>
          <w:color w:val="0D0D0D"/>
          <w:lang w:val="en-US"/>
        </w:rPr>
        <w:t xml:space="preserve"> e </w:t>
      </w:r>
      <w:proofErr w:type="spellStart"/>
      <w:r w:rsidRPr="00B8309C">
        <w:rPr>
          <w:color w:val="0D0D0D"/>
          <w:lang w:val="en-US"/>
        </w:rPr>
        <w:t>Komisionerit</w:t>
      </w:r>
      <w:proofErr w:type="spellEnd"/>
      <w:r w:rsidRPr="00B8309C">
        <w:rPr>
          <w:color w:val="0D0D0D"/>
          <w:lang w:val="en-US"/>
        </w:rPr>
        <w:t xml:space="preserve">, </w:t>
      </w:r>
      <w:proofErr w:type="spellStart"/>
      <w:r w:rsidRPr="00B8309C">
        <w:rPr>
          <w:color w:val="0D0D0D"/>
          <w:lang w:val="en-US"/>
        </w:rPr>
        <w:t>në</w:t>
      </w:r>
      <w:proofErr w:type="spellEnd"/>
      <w:r w:rsidRPr="00B8309C">
        <w:rPr>
          <w:color w:val="0D0D0D"/>
          <w:lang w:val="en-US"/>
        </w:rPr>
        <w:t xml:space="preserve"> total </w:t>
      </w:r>
      <w:proofErr w:type="spellStart"/>
      <w:r w:rsidRPr="00B8309C">
        <w:rPr>
          <w:color w:val="0D0D0D"/>
          <w:lang w:val="en-US"/>
        </w:rPr>
        <w:t>janë</w:t>
      </w:r>
      <w:proofErr w:type="spellEnd"/>
      <w:r w:rsidRPr="00B8309C">
        <w:rPr>
          <w:color w:val="0D0D0D"/>
          <w:lang w:val="en-US"/>
        </w:rPr>
        <w:t xml:space="preserve"> </w:t>
      </w:r>
      <w:proofErr w:type="spellStart"/>
      <w:r w:rsidRPr="00B8309C">
        <w:rPr>
          <w:color w:val="0D0D0D"/>
          <w:lang w:val="en-US"/>
        </w:rPr>
        <w:t>miratuar</w:t>
      </w:r>
      <w:proofErr w:type="spellEnd"/>
      <w:r w:rsidRPr="00B8309C">
        <w:rPr>
          <w:color w:val="0D0D0D"/>
          <w:lang w:val="en-US"/>
        </w:rPr>
        <w:t xml:space="preserve">  </w:t>
      </w:r>
      <w:proofErr w:type="spellStart"/>
      <w:r w:rsidRPr="00B8309C">
        <w:rPr>
          <w:color w:val="0D0D0D"/>
          <w:lang w:val="en-US"/>
        </w:rPr>
        <w:t>në</w:t>
      </w:r>
      <w:proofErr w:type="spellEnd"/>
      <w:r w:rsidRPr="00B8309C">
        <w:rPr>
          <w:color w:val="0D0D0D"/>
          <w:lang w:val="en-US"/>
        </w:rPr>
        <w:t xml:space="preserve"> </w:t>
      </w:r>
      <w:proofErr w:type="spellStart"/>
      <w:r w:rsidRPr="00B8309C">
        <w:rPr>
          <w:color w:val="0D0D0D"/>
          <w:lang w:val="en-US"/>
        </w:rPr>
        <w:t>vlerën</w:t>
      </w:r>
      <w:proofErr w:type="spellEnd"/>
      <w:r w:rsidRPr="00B8309C">
        <w:rPr>
          <w:color w:val="0D0D0D"/>
          <w:lang w:val="en-US"/>
        </w:rPr>
        <w:t xml:space="preserve"> </w:t>
      </w:r>
      <w:r>
        <w:rPr>
          <w:bCs/>
          <w:iCs/>
          <w:color w:val="0D0D0D"/>
          <w:lang w:val="pt-BR"/>
        </w:rPr>
        <w:t xml:space="preserve">114.830 </w:t>
      </w:r>
      <w:r w:rsidRPr="00B8309C">
        <w:rPr>
          <w:b/>
          <w:bCs/>
          <w:i/>
          <w:iCs/>
          <w:color w:val="0D0D0D"/>
          <w:lang w:val="pt-BR"/>
        </w:rPr>
        <w:t> </w:t>
      </w:r>
      <w:r w:rsidRPr="00B8309C">
        <w:rPr>
          <w:color w:val="0D0D0D"/>
          <w:lang w:val="en-US"/>
        </w:rPr>
        <w:t>(</w:t>
      </w:r>
      <w:proofErr w:type="spellStart"/>
      <w:r w:rsidRPr="00B8309C">
        <w:rPr>
          <w:color w:val="0D0D0D"/>
          <w:lang w:val="en-US"/>
        </w:rPr>
        <w:t>mijë</w:t>
      </w:r>
      <w:proofErr w:type="spellEnd"/>
      <w:r w:rsidRPr="00B8309C">
        <w:rPr>
          <w:color w:val="0D0D0D"/>
          <w:lang w:val="en-US"/>
        </w:rPr>
        <w:t xml:space="preserve"> </w:t>
      </w:r>
      <w:proofErr w:type="spellStart"/>
      <w:r w:rsidRPr="00B8309C">
        <w:rPr>
          <w:color w:val="0D0D0D"/>
          <w:lang w:val="en-US"/>
        </w:rPr>
        <w:t>lekë</w:t>
      </w:r>
      <w:proofErr w:type="spellEnd"/>
      <w:r w:rsidRPr="00B8309C">
        <w:rPr>
          <w:color w:val="0D0D0D"/>
          <w:lang w:val="en-US"/>
        </w:rPr>
        <w:t xml:space="preserve">), </w:t>
      </w:r>
      <w:r>
        <w:rPr>
          <w:color w:val="0D0D0D"/>
          <w:lang w:val="en-US"/>
        </w:rPr>
        <w:t xml:space="preserve">pas </w:t>
      </w:r>
      <w:proofErr w:type="spellStart"/>
      <w:r>
        <w:rPr>
          <w:color w:val="0D0D0D"/>
          <w:lang w:val="en-US"/>
        </w:rPr>
        <w:t>alokimit</w:t>
      </w:r>
      <w:proofErr w:type="spellEnd"/>
      <w:r>
        <w:rPr>
          <w:color w:val="0D0D0D"/>
          <w:lang w:val="en-US"/>
        </w:rPr>
        <w:t xml:space="preserve"> </w:t>
      </w:r>
      <w:proofErr w:type="spellStart"/>
      <w:r>
        <w:rPr>
          <w:color w:val="0D0D0D"/>
          <w:lang w:val="en-US"/>
        </w:rPr>
        <w:t>shtesë</w:t>
      </w:r>
      <w:proofErr w:type="spellEnd"/>
      <w:r>
        <w:rPr>
          <w:color w:val="0D0D0D"/>
          <w:lang w:val="en-US"/>
        </w:rPr>
        <w:t xml:space="preserve"> </w:t>
      </w:r>
      <w:proofErr w:type="spellStart"/>
      <w:r>
        <w:rPr>
          <w:color w:val="0D0D0D"/>
          <w:lang w:val="en-US"/>
        </w:rPr>
        <w:lastRenderedPageBreak/>
        <w:t>fondi</w:t>
      </w:r>
      <w:proofErr w:type="spellEnd"/>
      <w:r>
        <w:rPr>
          <w:color w:val="0D0D0D"/>
          <w:lang w:val="en-US"/>
        </w:rPr>
        <w:t xml:space="preserve"> </w:t>
      </w:r>
      <w:proofErr w:type="spellStart"/>
      <w:r>
        <w:rPr>
          <w:color w:val="0D0D0D"/>
          <w:lang w:val="en-US"/>
        </w:rPr>
        <w:t>për</w:t>
      </w:r>
      <w:proofErr w:type="spellEnd"/>
      <w:r>
        <w:rPr>
          <w:color w:val="0D0D0D"/>
          <w:lang w:val="en-US"/>
        </w:rPr>
        <w:t xml:space="preserve"> </w:t>
      </w:r>
      <w:proofErr w:type="spellStart"/>
      <w:r>
        <w:rPr>
          <w:color w:val="0D0D0D"/>
          <w:lang w:val="en-US"/>
        </w:rPr>
        <w:t>shpenzime</w:t>
      </w:r>
      <w:proofErr w:type="spellEnd"/>
      <w:r>
        <w:rPr>
          <w:color w:val="0D0D0D"/>
          <w:lang w:val="en-US"/>
        </w:rPr>
        <w:t xml:space="preserve"> </w:t>
      </w:r>
      <w:proofErr w:type="spellStart"/>
      <w:r>
        <w:rPr>
          <w:color w:val="0D0D0D"/>
          <w:lang w:val="en-US"/>
        </w:rPr>
        <w:t>personeli</w:t>
      </w:r>
      <w:proofErr w:type="spellEnd"/>
      <w:r>
        <w:rPr>
          <w:color w:val="0D0D0D"/>
          <w:lang w:val="en-US"/>
        </w:rPr>
        <w:t xml:space="preserve">  </w:t>
      </w:r>
      <w:proofErr w:type="spellStart"/>
      <w:r>
        <w:rPr>
          <w:color w:val="0D0D0D"/>
          <w:lang w:val="en-US"/>
        </w:rPr>
        <w:t>si</w:t>
      </w:r>
      <w:proofErr w:type="spellEnd"/>
      <w:r>
        <w:rPr>
          <w:color w:val="0D0D0D"/>
          <w:lang w:val="en-US"/>
        </w:rPr>
        <w:t xml:space="preserve"> </w:t>
      </w:r>
      <w:proofErr w:type="spellStart"/>
      <w:r>
        <w:rPr>
          <w:color w:val="0D0D0D"/>
          <w:lang w:val="en-US"/>
        </w:rPr>
        <w:t>pasoje</w:t>
      </w:r>
      <w:proofErr w:type="spellEnd"/>
      <w:r>
        <w:rPr>
          <w:color w:val="0D0D0D"/>
          <w:lang w:val="en-US"/>
        </w:rPr>
        <w:t xml:space="preserve"> e </w:t>
      </w:r>
      <w:proofErr w:type="spellStart"/>
      <w:r>
        <w:rPr>
          <w:color w:val="0D0D0D"/>
          <w:lang w:val="en-US"/>
        </w:rPr>
        <w:t>reformes</w:t>
      </w:r>
      <w:proofErr w:type="spellEnd"/>
      <w:r>
        <w:rPr>
          <w:color w:val="0D0D0D"/>
          <w:lang w:val="en-US"/>
        </w:rPr>
        <w:t xml:space="preserve"> se </w:t>
      </w:r>
      <w:proofErr w:type="spellStart"/>
      <w:r>
        <w:rPr>
          <w:color w:val="0D0D0D"/>
          <w:lang w:val="en-US"/>
        </w:rPr>
        <w:t>pagave</w:t>
      </w:r>
      <w:proofErr w:type="spellEnd"/>
      <w:r>
        <w:rPr>
          <w:color w:val="0D0D0D"/>
          <w:lang w:val="en-US"/>
        </w:rPr>
        <w:t xml:space="preserve">, </w:t>
      </w:r>
      <w:proofErr w:type="spellStart"/>
      <w:r w:rsidRPr="00B8309C">
        <w:rPr>
          <w:color w:val="0D0D0D"/>
          <w:lang w:val="en-US"/>
        </w:rPr>
        <w:t>ndërsa</w:t>
      </w:r>
      <w:proofErr w:type="spellEnd"/>
      <w:r w:rsidRPr="00B8309C">
        <w:rPr>
          <w:color w:val="0D0D0D"/>
          <w:lang w:val="en-US"/>
        </w:rPr>
        <w:t xml:space="preserve">  </w:t>
      </w:r>
      <w:r w:rsidRPr="00B8309C">
        <w:rPr>
          <w:rFonts w:eastAsia="Batang"/>
          <w:bCs/>
          <w:color w:val="0D0D0D" w:themeColor="text1" w:themeTint="F2"/>
          <w:lang w:val="pt-BR"/>
        </w:rPr>
        <w:t xml:space="preserve">përfshihet si zë   shpenzimi  akordimi i fondit të vecantë. </w:t>
      </w:r>
      <w:r>
        <w:rPr>
          <w:rFonts w:eastAsia="Batang"/>
          <w:bCs/>
          <w:color w:val="0D0D0D" w:themeColor="text1" w:themeTint="F2"/>
          <w:lang w:val="pt-BR"/>
        </w:rPr>
        <w:t xml:space="preserve"> shkresa e MFE nr/11802/1, datë 11.07.2023 (prot me tonën nr. 1182/1, datë 14.07.2023 ) si dhe  nr. 11802/2, datë 18.07.2023 ( prot me tonen nr. 1182/2, date 19.07.2023). </w:t>
      </w:r>
      <w:r w:rsidRPr="00B8309C">
        <w:rPr>
          <w:rFonts w:eastAsia="Batang"/>
          <w:bCs/>
          <w:color w:val="0D0D0D" w:themeColor="text1" w:themeTint="F2"/>
          <w:lang w:val="pt-BR"/>
        </w:rPr>
        <w:t>Struktura  e elementëve buxhetorë  paraqitet si    më poshtë:</w:t>
      </w:r>
    </w:p>
    <w:p w:rsidR="00363F52" w:rsidRPr="00B8309C" w:rsidRDefault="00363F52" w:rsidP="00363F52">
      <w:pPr>
        <w:spacing w:line="276" w:lineRule="auto"/>
        <w:jc w:val="both"/>
      </w:pPr>
    </w:p>
    <w:p w:rsidR="00363F52" w:rsidRPr="00B8309C" w:rsidRDefault="00363F52" w:rsidP="00363F52">
      <w:pPr>
        <w:spacing w:line="276" w:lineRule="auto"/>
        <w:jc w:val="both"/>
        <w:rPr>
          <w:color w:val="0D0D0D"/>
          <w:lang w:val="en-US"/>
        </w:rPr>
      </w:pPr>
      <w:r w:rsidRPr="00B8309C">
        <w:rPr>
          <w:color w:val="0D0D0D"/>
          <w:lang w:val="en-US"/>
        </w:rPr>
        <w:t xml:space="preserve">   </w:t>
      </w:r>
      <w:r w:rsidRPr="00B8309C">
        <w:rPr>
          <w:color w:val="000000"/>
          <w:lang w:val="en-US"/>
        </w:rPr>
        <w:t xml:space="preserve"> </w:t>
      </w:r>
      <w:r w:rsidRPr="00B8309C">
        <w:rPr>
          <w:color w:val="0D0D0D"/>
          <w:lang w:val="en-US"/>
        </w:rPr>
        <w:t xml:space="preserve"> </w:t>
      </w:r>
    </w:p>
    <w:tbl>
      <w:tblPr>
        <w:tblpPr w:leftFromText="180" w:rightFromText="180" w:vertAnchor="text" w:horzAnchor="margin" w:tblpY="98"/>
        <w:tblW w:w="8995" w:type="dxa"/>
        <w:tblLayout w:type="fixed"/>
        <w:tblCellMar>
          <w:left w:w="30" w:type="dxa"/>
          <w:right w:w="30" w:type="dxa"/>
        </w:tblCellMar>
        <w:tblLook w:val="0000" w:firstRow="0" w:lastRow="0" w:firstColumn="0" w:lastColumn="0" w:noHBand="0" w:noVBand="0"/>
      </w:tblPr>
      <w:tblGrid>
        <w:gridCol w:w="1448"/>
        <w:gridCol w:w="3827"/>
        <w:gridCol w:w="30"/>
        <w:gridCol w:w="3690"/>
      </w:tblGrid>
      <w:tr w:rsidR="00363F52" w:rsidRPr="00B8309C" w:rsidTr="00B538F4">
        <w:trPr>
          <w:trHeight w:val="756"/>
        </w:trPr>
        <w:tc>
          <w:tcPr>
            <w:tcW w:w="1448" w:type="dxa"/>
            <w:tcBorders>
              <w:top w:val="single" w:sz="4" w:space="0" w:color="auto"/>
              <w:left w:val="single" w:sz="4" w:space="0" w:color="auto"/>
              <w:bottom w:val="single" w:sz="6" w:space="0" w:color="auto"/>
              <w:right w:val="single" w:sz="6" w:space="0" w:color="auto"/>
            </w:tcBorders>
            <w:shd w:val="solid" w:color="969696" w:fill="auto"/>
          </w:tcPr>
          <w:p w:rsidR="00363F52" w:rsidRPr="00B8309C" w:rsidRDefault="00363F52" w:rsidP="00B538F4">
            <w:pPr>
              <w:autoSpaceDE w:val="0"/>
              <w:autoSpaceDN w:val="0"/>
              <w:adjustRightInd w:val="0"/>
              <w:spacing w:line="276" w:lineRule="auto"/>
              <w:jc w:val="center"/>
              <w:rPr>
                <w:b/>
                <w:bCs/>
                <w:color w:val="000000"/>
              </w:rPr>
            </w:pPr>
          </w:p>
          <w:p w:rsidR="00363F52" w:rsidRPr="00B8309C" w:rsidRDefault="00363F52" w:rsidP="00B538F4">
            <w:pPr>
              <w:autoSpaceDE w:val="0"/>
              <w:autoSpaceDN w:val="0"/>
              <w:adjustRightInd w:val="0"/>
              <w:spacing w:line="276" w:lineRule="auto"/>
              <w:jc w:val="center"/>
              <w:rPr>
                <w:b/>
                <w:bCs/>
                <w:color w:val="000000"/>
              </w:rPr>
            </w:pPr>
            <w:r w:rsidRPr="00B8309C">
              <w:rPr>
                <w:b/>
                <w:bCs/>
                <w:color w:val="000000"/>
              </w:rPr>
              <w:t>Llog.</w:t>
            </w:r>
          </w:p>
          <w:p w:rsidR="00363F52" w:rsidRPr="00B8309C" w:rsidRDefault="00363F52" w:rsidP="00B538F4">
            <w:pPr>
              <w:autoSpaceDE w:val="0"/>
              <w:autoSpaceDN w:val="0"/>
              <w:adjustRightInd w:val="0"/>
              <w:spacing w:line="276" w:lineRule="auto"/>
              <w:rPr>
                <w:b/>
                <w:bCs/>
                <w:color w:val="000000"/>
              </w:rPr>
            </w:pPr>
            <w:r w:rsidRPr="00B8309C">
              <w:rPr>
                <w:b/>
                <w:bCs/>
                <w:color w:val="000000"/>
              </w:rPr>
              <w:t>Ekonomike</w:t>
            </w:r>
          </w:p>
        </w:tc>
        <w:tc>
          <w:tcPr>
            <w:tcW w:w="3827" w:type="dxa"/>
            <w:tcBorders>
              <w:top w:val="single" w:sz="4" w:space="0" w:color="auto"/>
              <w:left w:val="single" w:sz="6" w:space="0" w:color="auto"/>
              <w:bottom w:val="single" w:sz="6" w:space="0" w:color="auto"/>
              <w:right w:val="single" w:sz="6" w:space="0" w:color="auto"/>
            </w:tcBorders>
            <w:shd w:val="solid" w:color="969696" w:fill="auto"/>
            <w:vAlign w:val="center"/>
          </w:tcPr>
          <w:p w:rsidR="00363F52" w:rsidRPr="00B8309C" w:rsidRDefault="00363F52" w:rsidP="00B538F4">
            <w:pPr>
              <w:autoSpaceDE w:val="0"/>
              <w:autoSpaceDN w:val="0"/>
              <w:adjustRightInd w:val="0"/>
              <w:spacing w:line="276" w:lineRule="auto"/>
              <w:jc w:val="center"/>
              <w:rPr>
                <w:b/>
                <w:bCs/>
                <w:color w:val="000000"/>
              </w:rPr>
            </w:pPr>
            <w:r w:rsidRPr="00B8309C">
              <w:rPr>
                <w:b/>
                <w:bCs/>
                <w:color w:val="000000"/>
              </w:rPr>
              <w:t>Përshkrimi</w:t>
            </w:r>
          </w:p>
        </w:tc>
        <w:tc>
          <w:tcPr>
            <w:tcW w:w="3720" w:type="dxa"/>
            <w:gridSpan w:val="2"/>
            <w:tcBorders>
              <w:top w:val="single" w:sz="4" w:space="0" w:color="auto"/>
              <w:left w:val="single" w:sz="6" w:space="0" w:color="auto"/>
              <w:bottom w:val="single" w:sz="6" w:space="0" w:color="auto"/>
              <w:right w:val="single" w:sz="6" w:space="0" w:color="auto"/>
            </w:tcBorders>
            <w:shd w:val="solid" w:color="969696" w:fill="auto"/>
          </w:tcPr>
          <w:p w:rsidR="00363F52" w:rsidRPr="00B8309C" w:rsidRDefault="00363F52" w:rsidP="00B538F4">
            <w:pPr>
              <w:autoSpaceDE w:val="0"/>
              <w:autoSpaceDN w:val="0"/>
              <w:adjustRightInd w:val="0"/>
              <w:spacing w:line="276" w:lineRule="auto"/>
              <w:jc w:val="center"/>
              <w:rPr>
                <w:b/>
                <w:bCs/>
                <w:color w:val="000000"/>
              </w:rPr>
            </w:pPr>
            <w:r w:rsidRPr="00B8309C">
              <w:rPr>
                <w:b/>
                <w:bCs/>
                <w:color w:val="000000"/>
              </w:rPr>
              <w:t>Plani  i buxhetit për vitin 2023</w:t>
            </w:r>
          </w:p>
          <w:p w:rsidR="00363F52" w:rsidRPr="00B8309C" w:rsidRDefault="00363F52" w:rsidP="00B538F4">
            <w:pPr>
              <w:autoSpaceDE w:val="0"/>
              <w:autoSpaceDN w:val="0"/>
              <w:adjustRightInd w:val="0"/>
              <w:spacing w:line="276" w:lineRule="auto"/>
              <w:jc w:val="center"/>
              <w:rPr>
                <w:b/>
                <w:bCs/>
                <w:color w:val="000000"/>
              </w:rPr>
            </w:pPr>
            <w:r w:rsidRPr="00B8309C">
              <w:rPr>
                <w:b/>
                <w:bCs/>
                <w:color w:val="000000"/>
              </w:rPr>
              <w:t>(në mijë lekë)</w:t>
            </w:r>
          </w:p>
          <w:p w:rsidR="00363F52" w:rsidRPr="00B8309C" w:rsidRDefault="00363F52" w:rsidP="00B538F4">
            <w:pPr>
              <w:autoSpaceDE w:val="0"/>
              <w:autoSpaceDN w:val="0"/>
              <w:adjustRightInd w:val="0"/>
              <w:spacing w:line="276" w:lineRule="auto"/>
              <w:jc w:val="center"/>
              <w:rPr>
                <w:b/>
                <w:bCs/>
                <w:color w:val="000000"/>
                <w:lang w:val="it-IT"/>
              </w:rPr>
            </w:pPr>
            <w:r w:rsidRPr="00B8309C">
              <w:rPr>
                <w:b/>
                <w:bCs/>
                <w:color w:val="000000"/>
              </w:rPr>
              <w:t xml:space="preserve">  </w:t>
            </w:r>
          </w:p>
        </w:tc>
      </w:tr>
      <w:tr w:rsidR="00363F52" w:rsidRPr="00B8309C" w:rsidTr="00B538F4">
        <w:trPr>
          <w:trHeight w:val="262"/>
        </w:trPr>
        <w:tc>
          <w:tcPr>
            <w:tcW w:w="1448" w:type="dxa"/>
            <w:tcBorders>
              <w:top w:val="single" w:sz="6" w:space="0" w:color="auto"/>
              <w:left w:val="single" w:sz="4" w:space="0" w:color="auto"/>
              <w:bottom w:val="single" w:sz="6" w:space="0" w:color="auto"/>
              <w:right w:val="single" w:sz="6" w:space="0" w:color="auto"/>
            </w:tcBorders>
          </w:tcPr>
          <w:p w:rsidR="00363F52" w:rsidRPr="00B8309C" w:rsidRDefault="00363F52" w:rsidP="00B538F4">
            <w:pPr>
              <w:autoSpaceDE w:val="0"/>
              <w:autoSpaceDN w:val="0"/>
              <w:adjustRightInd w:val="0"/>
              <w:spacing w:line="276" w:lineRule="auto"/>
              <w:jc w:val="center"/>
              <w:rPr>
                <w:bCs/>
                <w:color w:val="000000"/>
              </w:rPr>
            </w:pPr>
            <w:r w:rsidRPr="00B8309C">
              <w:rPr>
                <w:bCs/>
                <w:color w:val="000000"/>
              </w:rPr>
              <w:t>600</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rPr>
                <w:bCs/>
                <w:color w:val="000000"/>
              </w:rPr>
            </w:pPr>
            <w:r w:rsidRPr="00B8309C">
              <w:rPr>
                <w:bCs/>
                <w:color w:val="000000"/>
              </w:rPr>
              <w:t>Fond Page</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jc w:val="center"/>
              <w:rPr>
                <w:bCs/>
                <w:color w:val="000000"/>
              </w:rPr>
            </w:pPr>
            <w:r>
              <w:rPr>
                <w:bCs/>
                <w:color w:val="000000"/>
              </w:rPr>
              <w:t>78.640</w:t>
            </w:r>
          </w:p>
        </w:tc>
      </w:tr>
      <w:tr w:rsidR="00363F52" w:rsidRPr="00B8309C" w:rsidTr="00B538F4">
        <w:trPr>
          <w:trHeight w:val="219"/>
        </w:trPr>
        <w:tc>
          <w:tcPr>
            <w:tcW w:w="1448" w:type="dxa"/>
            <w:tcBorders>
              <w:top w:val="single" w:sz="6" w:space="0" w:color="auto"/>
              <w:left w:val="single" w:sz="4" w:space="0" w:color="auto"/>
              <w:bottom w:val="single" w:sz="6" w:space="0" w:color="auto"/>
              <w:right w:val="single" w:sz="6" w:space="0" w:color="auto"/>
            </w:tcBorders>
          </w:tcPr>
          <w:p w:rsidR="00363F52" w:rsidRPr="00B8309C" w:rsidRDefault="00363F52" w:rsidP="00B538F4">
            <w:pPr>
              <w:autoSpaceDE w:val="0"/>
              <w:autoSpaceDN w:val="0"/>
              <w:adjustRightInd w:val="0"/>
              <w:spacing w:line="276" w:lineRule="auto"/>
              <w:jc w:val="center"/>
              <w:rPr>
                <w:bCs/>
                <w:color w:val="000000"/>
              </w:rPr>
            </w:pPr>
            <w:r w:rsidRPr="00B8309C">
              <w:rPr>
                <w:bCs/>
                <w:color w:val="000000"/>
              </w:rPr>
              <w:t>601</w:t>
            </w:r>
          </w:p>
        </w:tc>
        <w:tc>
          <w:tcPr>
            <w:tcW w:w="3857" w:type="dxa"/>
            <w:gridSpan w:val="2"/>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rPr>
                <w:bCs/>
                <w:color w:val="000000"/>
              </w:rPr>
            </w:pPr>
            <w:r w:rsidRPr="00B8309C">
              <w:rPr>
                <w:bCs/>
                <w:color w:val="000000"/>
              </w:rPr>
              <w:t>Kontrib. Sig. Shoq&amp; Shënd.</w:t>
            </w:r>
          </w:p>
        </w:tc>
        <w:tc>
          <w:tcPr>
            <w:tcW w:w="3690" w:type="dxa"/>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jc w:val="center"/>
              <w:rPr>
                <w:bCs/>
                <w:color w:val="000000"/>
              </w:rPr>
            </w:pPr>
            <w:r w:rsidRPr="00B8309C">
              <w:rPr>
                <w:bCs/>
                <w:color w:val="000000"/>
              </w:rPr>
              <w:t>1</w:t>
            </w:r>
            <w:r>
              <w:rPr>
                <w:bCs/>
                <w:color w:val="000000"/>
              </w:rPr>
              <w:t>2</w:t>
            </w:r>
            <w:r w:rsidRPr="00B8309C">
              <w:rPr>
                <w:bCs/>
                <w:color w:val="000000"/>
              </w:rPr>
              <w:t>.630</w:t>
            </w:r>
          </w:p>
        </w:tc>
      </w:tr>
      <w:tr w:rsidR="00363F52" w:rsidRPr="00B8309C" w:rsidTr="00B538F4">
        <w:trPr>
          <w:trHeight w:val="276"/>
        </w:trPr>
        <w:tc>
          <w:tcPr>
            <w:tcW w:w="1448" w:type="dxa"/>
            <w:tcBorders>
              <w:top w:val="single" w:sz="6" w:space="0" w:color="auto"/>
              <w:left w:val="single" w:sz="4" w:space="0" w:color="auto"/>
              <w:bottom w:val="single" w:sz="6" w:space="0" w:color="auto"/>
              <w:right w:val="single" w:sz="6" w:space="0" w:color="auto"/>
            </w:tcBorders>
          </w:tcPr>
          <w:p w:rsidR="00363F52" w:rsidRPr="00B8309C" w:rsidRDefault="00363F52" w:rsidP="00B538F4">
            <w:pPr>
              <w:autoSpaceDE w:val="0"/>
              <w:autoSpaceDN w:val="0"/>
              <w:adjustRightInd w:val="0"/>
              <w:spacing w:line="276" w:lineRule="auto"/>
              <w:jc w:val="center"/>
              <w:rPr>
                <w:bCs/>
                <w:color w:val="000000"/>
              </w:rPr>
            </w:pPr>
            <w:r w:rsidRPr="00B8309C">
              <w:rPr>
                <w:bCs/>
                <w:color w:val="000000"/>
              </w:rPr>
              <w:t>602</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rPr>
                <w:bCs/>
                <w:color w:val="000000"/>
              </w:rPr>
            </w:pPr>
            <w:r w:rsidRPr="00B8309C">
              <w:rPr>
                <w:bCs/>
                <w:color w:val="000000"/>
              </w:rPr>
              <w:t>Mallra dhe shërbime të tjera</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jc w:val="center"/>
              <w:rPr>
                <w:bCs/>
                <w:color w:val="000000"/>
              </w:rPr>
            </w:pPr>
            <w:r w:rsidRPr="00B8309C">
              <w:rPr>
                <w:bCs/>
                <w:color w:val="000000"/>
              </w:rPr>
              <w:t>17.220</w:t>
            </w:r>
          </w:p>
        </w:tc>
      </w:tr>
      <w:tr w:rsidR="00363F52" w:rsidRPr="00B8309C" w:rsidTr="00B538F4">
        <w:trPr>
          <w:trHeight w:val="276"/>
        </w:trPr>
        <w:tc>
          <w:tcPr>
            <w:tcW w:w="1448" w:type="dxa"/>
            <w:tcBorders>
              <w:top w:val="single" w:sz="6" w:space="0" w:color="auto"/>
              <w:left w:val="single" w:sz="4" w:space="0" w:color="auto"/>
              <w:bottom w:val="single" w:sz="6" w:space="0" w:color="auto"/>
              <w:right w:val="single" w:sz="6" w:space="0" w:color="auto"/>
            </w:tcBorders>
          </w:tcPr>
          <w:p w:rsidR="00363F52" w:rsidRPr="00B8309C" w:rsidRDefault="00363F52" w:rsidP="00B538F4">
            <w:pPr>
              <w:autoSpaceDE w:val="0"/>
              <w:autoSpaceDN w:val="0"/>
              <w:adjustRightInd w:val="0"/>
              <w:spacing w:line="276" w:lineRule="auto"/>
              <w:jc w:val="center"/>
              <w:rPr>
                <w:bCs/>
                <w:color w:val="000000"/>
              </w:rPr>
            </w:pPr>
            <w:r w:rsidRPr="00B8309C">
              <w:rPr>
                <w:bCs/>
                <w:color w:val="000000"/>
              </w:rPr>
              <w:t>605</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rPr>
                <w:bCs/>
                <w:color w:val="000000"/>
              </w:rPr>
            </w:pPr>
            <w:r w:rsidRPr="00B8309C">
              <w:rPr>
                <w:bCs/>
                <w:color w:val="000000"/>
              </w:rPr>
              <w:t>Transferta korente jashtë vendit</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jc w:val="center"/>
              <w:rPr>
                <w:bCs/>
              </w:rPr>
            </w:pPr>
            <w:r w:rsidRPr="00B8309C">
              <w:rPr>
                <w:bCs/>
                <w:color w:val="000000"/>
              </w:rPr>
              <w:t xml:space="preserve">     100 </w:t>
            </w:r>
          </w:p>
        </w:tc>
      </w:tr>
      <w:tr w:rsidR="00363F52" w:rsidRPr="00B8309C" w:rsidTr="00B538F4">
        <w:trPr>
          <w:trHeight w:val="276"/>
        </w:trPr>
        <w:tc>
          <w:tcPr>
            <w:tcW w:w="1448" w:type="dxa"/>
            <w:tcBorders>
              <w:top w:val="single" w:sz="6" w:space="0" w:color="auto"/>
              <w:left w:val="single" w:sz="4" w:space="0" w:color="auto"/>
              <w:bottom w:val="single" w:sz="6" w:space="0" w:color="auto"/>
              <w:right w:val="single" w:sz="6" w:space="0" w:color="auto"/>
            </w:tcBorders>
          </w:tcPr>
          <w:p w:rsidR="00363F52" w:rsidRPr="00B8309C" w:rsidRDefault="00363F52" w:rsidP="00B538F4">
            <w:pPr>
              <w:autoSpaceDE w:val="0"/>
              <w:autoSpaceDN w:val="0"/>
              <w:adjustRightInd w:val="0"/>
              <w:spacing w:line="276" w:lineRule="auto"/>
              <w:jc w:val="center"/>
              <w:rPr>
                <w:bCs/>
                <w:color w:val="000000"/>
              </w:rPr>
            </w:pPr>
            <w:r w:rsidRPr="00B8309C">
              <w:rPr>
                <w:bCs/>
                <w:color w:val="000000"/>
              </w:rPr>
              <w:t>606</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rPr>
                <w:bCs/>
                <w:color w:val="000000"/>
              </w:rPr>
            </w:pPr>
            <w:r w:rsidRPr="00B8309C">
              <w:rPr>
                <w:bCs/>
                <w:color w:val="000000"/>
              </w:rPr>
              <w:t>Transf. për Buxh. Fam. &amp; Individ</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jc w:val="center"/>
              <w:rPr>
                <w:bCs/>
                <w:color w:val="000000"/>
              </w:rPr>
            </w:pPr>
            <w:r w:rsidRPr="00B8309C">
              <w:rPr>
                <w:bCs/>
                <w:color w:val="000000"/>
              </w:rPr>
              <w:t xml:space="preserve">     240 </w:t>
            </w:r>
          </w:p>
        </w:tc>
      </w:tr>
      <w:tr w:rsidR="00363F52" w:rsidRPr="00B8309C" w:rsidTr="00B538F4">
        <w:trPr>
          <w:trHeight w:val="276"/>
        </w:trPr>
        <w:tc>
          <w:tcPr>
            <w:tcW w:w="1448" w:type="dxa"/>
            <w:tcBorders>
              <w:top w:val="single" w:sz="6" w:space="0" w:color="auto"/>
              <w:left w:val="single" w:sz="4" w:space="0" w:color="auto"/>
              <w:bottom w:val="single" w:sz="6" w:space="0" w:color="auto"/>
              <w:right w:val="single" w:sz="6" w:space="0" w:color="auto"/>
            </w:tcBorders>
          </w:tcPr>
          <w:p w:rsidR="00363F52" w:rsidRPr="00B8309C" w:rsidRDefault="00363F52" w:rsidP="00B538F4">
            <w:pPr>
              <w:autoSpaceDE w:val="0"/>
              <w:autoSpaceDN w:val="0"/>
              <w:adjustRightInd w:val="0"/>
              <w:spacing w:line="276" w:lineRule="auto"/>
              <w:jc w:val="center"/>
              <w:rPr>
                <w:b/>
                <w:bCs/>
                <w:color w:val="000000"/>
              </w:rPr>
            </w:pPr>
            <w:r w:rsidRPr="00B8309C">
              <w:rPr>
                <w:b/>
                <w:bCs/>
                <w:color w:val="000000"/>
              </w:rPr>
              <w:t>230-231</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rPr>
                <w:b/>
                <w:bCs/>
                <w:color w:val="000000"/>
              </w:rPr>
            </w:pPr>
            <w:r w:rsidRPr="00B8309C">
              <w:rPr>
                <w:b/>
                <w:bCs/>
                <w:color w:val="000000"/>
              </w:rPr>
              <w:t>Shpenzime kapitale</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jc w:val="center"/>
              <w:rPr>
                <w:b/>
                <w:bCs/>
                <w:color w:val="000000"/>
              </w:rPr>
            </w:pPr>
            <w:r w:rsidRPr="00B8309C">
              <w:rPr>
                <w:b/>
                <w:bCs/>
                <w:color w:val="000000"/>
              </w:rPr>
              <w:t xml:space="preserve">6.000 </w:t>
            </w:r>
          </w:p>
        </w:tc>
      </w:tr>
      <w:tr w:rsidR="00363F52" w:rsidRPr="00B8309C" w:rsidTr="00B538F4">
        <w:trPr>
          <w:trHeight w:val="276"/>
        </w:trPr>
        <w:tc>
          <w:tcPr>
            <w:tcW w:w="1448" w:type="dxa"/>
            <w:tcBorders>
              <w:top w:val="single" w:sz="6" w:space="0" w:color="auto"/>
              <w:left w:val="single" w:sz="4" w:space="0" w:color="auto"/>
              <w:bottom w:val="single" w:sz="6" w:space="0" w:color="auto"/>
              <w:right w:val="single" w:sz="6" w:space="0" w:color="auto"/>
            </w:tcBorders>
          </w:tcPr>
          <w:p w:rsidR="00363F52" w:rsidRPr="00B8309C" w:rsidRDefault="00363F52" w:rsidP="00B538F4">
            <w:pPr>
              <w:pStyle w:val="ListParagraph"/>
              <w:autoSpaceDE w:val="0"/>
              <w:autoSpaceDN w:val="0"/>
              <w:adjustRightInd w:val="0"/>
              <w:ind w:left="765"/>
              <w:rPr>
                <w:rFonts w:ascii="Times New Roman" w:hAnsi="Times New Roman"/>
                <w:bCs/>
                <w:color w:val="000000"/>
                <w:sz w:val="24"/>
                <w:szCs w:val="24"/>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rPr>
                <w:bCs/>
                <w:color w:val="000000"/>
              </w:rPr>
            </w:pPr>
            <w:r w:rsidRPr="00B8309C">
              <w:rPr>
                <w:bCs/>
                <w:color w:val="000000"/>
              </w:rPr>
              <w:t xml:space="preserve">Paisje zyre, elektronike/kompjuterike  </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jc w:val="center"/>
              <w:rPr>
                <w:bCs/>
                <w:color w:val="000000"/>
              </w:rPr>
            </w:pPr>
            <w:r w:rsidRPr="00B8309C">
              <w:rPr>
                <w:bCs/>
                <w:color w:val="000000"/>
              </w:rPr>
              <w:t>6.000</w:t>
            </w:r>
          </w:p>
        </w:tc>
      </w:tr>
      <w:tr w:rsidR="00363F52" w:rsidRPr="00B8309C" w:rsidTr="00B538F4">
        <w:trPr>
          <w:trHeight w:val="276"/>
        </w:trPr>
        <w:tc>
          <w:tcPr>
            <w:tcW w:w="1448" w:type="dxa"/>
            <w:tcBorders>
              <w:top w:val="single" w:sz="6" w:space="0" w:color="auto"/>
              <w:left w:val="single" w:sz="4" w:space="0" w:color="auto"/>
              <w:bottom w:val="single" w:sz="6" w:space="0" w:color="auto"/>
              <w:right w:val="single" w:sz="6" w:space="0" w:color="auto"/>
            </w:tcBorders>
          </w:tcPr>
          <w:p w:rsidR="00363F52" w:rsidRPr="00B8309C" w:rsidRDefault="00363F52" w:rsidP="00B538F4">
            <w:pPr>
              <w:autoSpaceDE w:val="0"/>
              <w:autoSpaceDN w:val="0"/>
              <w:adjustRightInd w:val="0"/>
              <w:spacing w:line="276" w:lineRule="auto"/>
              <w:jc w:val="center"/>
              <w:rPr>
                <w:bCs/>
                <w:color w:val="000000"/>
              </w:rPr>
            </w:pP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rPr>
                <w:bCs/>
                <w:color w:val="000000"/>
              </w:rPr>
            </w:pP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jc w:val="center"/>
              <w:rPr>
                <w:bCs/>
                <w:color w:val="000000"/>
              </w:rPr>
            </w:pPr>
            <w:r>
              <w:rPr>
                <w:bCs/>
                <w:color w:val="000000"/>
              </w:rPr>
              <w:t>114.830</w:t>
            </w:r>
          </w:p>
        </w:tc>
      </w:tr>
      <w:tr w:rsidR="00363F52" w:rsidRPr="00B8309C" w:rsidTr="00B538F4">
        <w:trPr>
          <w:trHeight w:val="276"/>
        </w:trPr>
        <w:tc>
          <w:tcPr>
            <w:tcW w:w="1448" w:type="dxa"/>
            <w:tcBorders>
              <w:top w:val="single" w:sz="6" w:space="0" w:color="auto"/>
              <w:left w:val="single" w:sz="4" w:space="0" w:color="auto"/>
              <w:bottom w:val="single" w:sz="6" w:space="0" w:color="auto"/>
              <w:right w:val="single" w:sz="6" w:space="0" w:color="auto"/>
            </w:tcBorders>
          </w:tcPr>
          <w:p w:rsidR="00363F52" w:rsidRPr="00B8309C" w:rsidRDefault="00363F52" w:rsidP="00B538F4">
            <w:pPr>
              <w:autoSpaceDE w:val="0"/>
              <w:autoSpaceDN w:val="0"/>
              <w:adjustRightInd w:val="0"/>
              <w:spacing w:line="276" w:lineRule="auto"/>
              <w:jc w:val="center"/>
              <w:rPr>
                <w:bCs/>
                <w:color w:val="000000"/>
              </w:rPr>
            </w:pPr>
            <w:r w:rsidRPr="00B8309C">
              <w:rPr>
                <w:bCs/>
                <w:color w:val="000000"/>
              </w:rPr>
              <w:t>606</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rPr>
                <w:bCs/>
                <w:color w:val="000000"/>
              </w:rPr>
            </w:pPr>
            <w:r w:rsidRPr="00B8309C">
              <w:rPr>
                <w:bCs/>
                <w:color w:val="000000"/>
              </w:rPr>
              <w:t xml:space="preserve">Fondi i vecantë </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363F52" w:rsidRPr="00B8309C" w:rsidRDefault="00363F52" w:rsidP="00B538F4">
            <w:pPr>
              <w:autoSpaceDE w:val="0"/>
              <w:autoSpaceDN w:val="0"/>
              <w:adjustRightInd w:val="0"/>
              <w:spacing w:line="276" w:lineRule="auto"/>
              <w:jc w:val="center"/>
              <w:rPr>
                <w:bCs/>
                <w:color w:val="000000"/>
              </w:rPr>
            </w:pPr>
            <w:r w:rsidRPr="00B8309C">
              <w:rPr>
                <w:bCs/>
                <w:color w:val="000000"/>
              </w:rPr>
              <w:t xml:space="preserve">     </w:t>
            </w:r>
          </w:p>
          <w:p w:rsidR="00363F52" w:rsidRPr="00B8309C" w:rsidRDefault="00363F52" w:rsidP="00B538F4">
            <w:pPr>
              <w:autoSpaceDE w:val="0"/>
              <w:autoSpaceDN w:val="0"/>
              <w:adjustRightInd w:val="0"/>
              <w:spacing w:line="276" w:lineRule="auto"/>
              <w:jc w:val="center"/>
              <w:rPr>
                <w:bCs/>
                <w:color w:val="000000"/>
              </w:rPr>
            </w:pPr>
            <w:r w:rsidRPr="00B8309C">
              <w:rPr>
                <w:bCs/>
                <w:color w:val="000000"/>
              </w:rPr>
              <w:t>250</w:t>
            </w:r>
          </w:p>
        </w:tc>
      </w:tr>
      <w:tr w:rsidR="00363F52" w:rsidRPr="00B8309C" w:rsidTr="00B538F4">
        <w:trPr>
          <w:trHeight w:val="262"/>
        </w:trPr>
        <w:tc>
          <w:tcPr>
            <w:tcW w:w="1448" w:type="dxa"/>
            <w:tcBorders>
              <w:top w:val="single" w:sz="4" w:space="0" w:color="auto"/>
              <w:left w:val="single" w:sz="4" w:space="0" w:color="auto"/>
              <w:bottom w:val="single" w:sz="4" w:space="0" w:color="auto"/>
              <w:right w:val="single" w:sz="4" w:space="0" w:color="auto"/>
            </w:tcBorders>
            <w:shd w:val="solid" w:color="969696" w:fill="auto"/>
          </w:tcPr>
          <w:p w:rsidR="00363F52" w:rsidRPr="00B8309C" w:rsidRDefault="00363F52" w:rsidP="00B538F4">
            <w:pPr>
              <w:autoSpaceDE w:val="0"/>
              <w:autoSpaceDN w:val="0"/>
              <w:adjustRightInd w:val="0"/>
              <w:spacing w:line="276" w:lineRule="auto"/>
              <w:jc w:val="right"/>
              <w:rPr>
                <w:color w:val="000000"/>
                <w:highlight w:val="black"/>
              </w:rPr>
            </w:pPr>
          </w:p>
        </w:tc>
        <w:tc>
          <w:tcPr>
            <w:tcW w:w="3827" w:type="dxa"/>
            <w:tcBorders>
              <w:top w:val="single" w:sz="4" w:space="0" w:color="auto"/>
              <w:left w:val="single" w:sz="4" w:space="0" w:color="auto"/>
              <w:bottom w:val="single" w:sz="4" w:space="0" w:color="auto"/>
              <w:right w:val="single" w:sz="4" w:space="0" w:color="auto"/>
            </w:tcBorders>
            <w:shd w:val="solid" w:color="969696" w:fill="auto"/>
            <w:vAlign w:val="center"/>
          </w:tcPr>
          <w:p w:rsidR="00363F52" w:rsidRPr="00B8309C" w:rsidRDefault="00363F52" w:rsidP="00B538F4">
            <w:pPr>
              <w:autoSpaceDE w:val="0"/>
              <w:autoSpaceDN w:val="0"/>
              <w:adjustRightInd w:val="0"/>
              <w:spacing w:line="276" w:lineRule="auto"/>
              <w:jc w:val="center"/>
              <w:rPr>
                <w:b/>
                <w:bCs/>
                <w:color w:val="000000"/>
              </w:rPr>
            </w:pPr>
            <w:r w:rsidRPr="00B8309C">
              <w:rPr>
                <w:b/>
                <w:bCs/>
                <w:color w:val="000000"/>
              </w:rPr>
              <w:t>T o t a l i</w:t>
            </w:r>
          </w:p>
        </w:tc>
        <w:tc>
          <w:tcPr>
            <w:tcW w:w="3720" w:type="dxa"/>
            <w:gridSpan w:val="2"/>
            <w:tcBorders>
              <w:top w:val="single" w:sz="4" w:space="0" w:color="auto"/>
              <w:left w:val="single" w:sz="4" w:space="0" w:color="auto"/>
              <w:bottom w:val="single" w:sz="4" w:space="0" w:color="auto"/>
              <w:right w:val="single" w:sz="4" w:space="0" w:color="auto"/>
            </w:tcBorders>
            <w:shd w:val="solid" w:color="969696" w:fill="auto"/>
            <w:vAlign w:val="center"/>
          </w:tcPr>
          <w:p w:rsidR="00363F52" w:rsidRPr="00B8309C" w:rsidRDefault="00363F52" w:rsidP="00B538F4">
            <w:pPr>
              <w:spacing w:line="276" w:lineRule="auto"/>
              <w:jc w:val="center"/>
              <w:rPr>
                <w:b/>
                <w:bCs/>
              </w:rPr>
            </w:pPr>
            <w:r>
              <w:rPr>
                <w:b/>
                <w:bCs/>
              </w:rPr>
              <w:t>115.080</w:t>
            </w:r>
          </w:p>
        </w:tc>
      </w:tr>
      <w:tr w:rsidR="00363F52" w:rsidRPr="00B8309C" w:rsidTr="00B538F4">
        <w:trPr>
          <w:trHeight w:val="262"/>
        </w:trPr>
        <w:tc>
          <w:tcPr>
            <w:tcW w:w="1448" w:type="dxa"/>
            <w:tcBorders>
              <w:top w:val="single" w:sz="4" w:space="0" w:color="auto"/>
              <w:left w:val="single" w:sz="4" w:space="0" w:color="auto"/>
              <w:bottom w:val="single" w:sz="4" w:space="0" w:color="auto"/>
              <w:right w:val="single" w:sz="4" w:space="0" w:color="auto"/>
            </w:tcBorders>
            <w:shd w:val="solid" w:color="969696" w:fill="auto"/>
          </w:tcPr>
          <w:p w:rsidR="00363F52" w:rsidRPr="00B8309C" w:rsidRDefault="00363F52" w:rsidP="00B538F4">
            <w:pPr>
              <w:autoSpaceDE w:val="0"/>
              <w:autoSpaceDN w:val="0"/>
              <w:adjustRightInd w:val="0"/>
              <w:spacing w:line="276" w:lineRule="auto"/>
              <w:jc w:val="right"/>
              <w:rPr>
                <w:color w:val="000000"/>
                <w:highlight w:val="black"/>
              </w:rPr>
            </w:pPr>
          </w:p>
        </w:tc>
        <w:tc>
          <w:tcPr>
            <w:tcW w:w="3827" w:type="dxa"/>
            <w:tcBorders>
              <w:top w:val="single" w:sz="4" w:space="0" w:color="auto"/>
              <w:left w:val="single" w:sz="4" w:space="0" w:color="auto"/>
              <w:bottom w:val="single" w:sz="4" w:space="0" w:color="auto"/>
              <w:right w:val="single" w:sz="4" w:space="0" w:color="auto"/>
            </w:tcBorders>
            <w:shd w:val="solid" w:color="969696" w:fill="auto"/>
            <w:vAlign w:val="center"/>
          </w:tcPr>
          <w:p w:rsidR="00363F52" w:rsidRPr="00B8309C" w:rsidRDefault="00363F52" w:rsidP="00B538F4">
            <w:pPr>
              <w:autoSpaceDE w:val="0"/>
              <w:autoSpaceDN w:val="0"/>
              <w:adjustRightInd w:val="0"/>
              <w:spacing w:line="276" w:lineRule="auto"/>
              <w:jc w:val="center"/>
              <w:rPr>
                <w:b/>
                <w:bCs/>
                <w:color w:val="000000"/>
              </w:rPr>
            </w:pPr>
          </w:p>
        </w:tc>
        <w:tc>
          <w:tcPr>
            <w:tcW w:w="3720" w:type="dxa"/>
            <w:gridSpan w:val="2"/>
            <w:tcBorders>
              <w:top w:val="single" w:sz="4" w:space="0" w:color="auto"/>
              <w:left w:val="single" w:sz="4" w:space="0" w:color="auto"/>
              <w:bottom w:val="single" w:sz="4" w:space="0" w:color="auto"/>
              <w:right w:val="single" w:sz="4" w:space="0" w:color="auto"/>
            </w:tcBorders>
            <w:shd w:val="solid" w:color="969696" w:fill="auto"/>
            <w:vAlign w:val="center"/>
          </w:tcPr>
          <w:p w:rsidR="00363F52" w:rsidRPr="00B8309C" w:rsidRDefault="00363F52" w:rsidP="00B538F4">
            <w:pPr>
              <w:spacing w:line="276" w:lineRule="auto"/>
              <w:rPr>
                <w:b/>
                <w:bCs/>
              </w:rPr>
            </w:pPr>
          </w:p>
        </w:tc>
      </w:tr>
    </w:tbl>
    <w:p w:rsidR="00363F52" w:rsidRPr="00B8309C" w:rsidRDefault="00363F52" w:rsidP="00363F52">
      <w:pPr>
        <w:spacing w:line="276" w:lineRule="auto"/>
        <w:rPr>
          <w:color w:val="0D0D0D" w:themeColor="text1" w:themeTint="F2"/>
        </w:rPr>
      </w:pPr>
      <w:r w:rsidRPr="00B8309C">
        <w:rPr>
          <w:lang w:val="it-IT"/>
        </w:rPr>
        <w:tab/>
      </w:r>
    </w:p>
    <w:p w:rsidR="00363F52" w:rsidRPr="00000F0F" w:rsidRDefault="00363F52" w:rsidP="00363F52">
      <w:pPr>
        <w:spacing w:line="276" w:lineRule="auto"/>
        <w:jc w:val="both"/>
        <w:rPr>
          <w:rFonts w:eastAsia="Batang"/>
          <w:iCs/>
          <w:color w:val="0D0D0D" w:themeColor="text1" w:themeTint="F2"/>
        </w:rPr>
      </w:pPr>
      <w:r w:rsidRPr="00000F0F">
        <w:rPr>
          <w:rFonts w:eastAsia="Batang"/>
          <w:iCs/>
          <w:color w:val="0D0D0D" w:themeColor="text1" w:themeTint="F2"/>
        </w:rPr>
        <w:t>Vlera e mbartur nga viti 202</w:t>
      </w:r>
      <w:r>
        <w:rPr>
          <w:rFonts w:eastAsia="Batang"/>
          <w:iCs/>
          <w:color w:val="0D0D0D" w:themeColor="text1" w:themeTint="F2"/>
        </w:rPr>
        <w:t>2</w:t>
      </w:r>
      <w:r w:rsidRPr="00000F0F">
        <w:rPr>
          <w:rFonts w:eastAsia="Batang"/>
          <w:iCs/>
          <w:color w:val="0D0D0D" w:themeColor="text1" w:themeTint="F2"/>
        </w:rPr>
        <w:t>, sipas artikujve buxhetore, me burim financimi donacionet/sponsorizimet paraqitet për sa e si më poshtë:</w:t>
      </w:r>
    </w:p>
    <w:p w:rsidR="00363F52" w:rsidRPr="00172348" w:rsidRDefault="00363F52" w:rsidP="00363F52">
      <w:pPr>
        <w:spacing w:line="276" w:lineRule="auto"/>
        <w:jc w:val="both"/>
        <w:rPr>
          <w:rFonts w:eastAsia="Batang"/>
          <w:iCs/>
          <w:color w:val="0D0D0D" w:themeColor="text1" w:themeTint="F2"/>
        </w:rPr>
      </w:pPr>
    </w:p>
    <w:p w:rsidR="00363F52" w:rsidRPr="00172348" w:rsidRDefault="00363F52" w:rsidP="00363F52">
      <w:pPr>
        <w:pStyle w:val="ListParagraph"/>
        <w:numPr>
          <w:ilvl w:val="0"/>
          <w:numId w:val="4"/>
        </w:numPr>
        <w:jc w:val="both"/>
        <w:rPr>
          <w:rFonts w:ascii="Times New Roman" w:eastAsia="Batang" w:hAnsi="Times New Roman"/>
          <w:iCs/>
          <w:color w:val="0D0D0D" w:themeColor="text1" w:themeTint="F2"/>
          <w:sz w:val="24"/>
          <w:szCs w:val="24"/>
        </w:rPr>
      </w:pPr>
      <w:r w:rsidRPr="00172348">
        <w:rPr>
          <w:rFonts w:ascii="Times New Roman" w:eastAsia="Batang" w:hAnsi="Times New Roman"/>
          <w:iCs/>
          <w:color w:val="0D0D0D" w:themeColor="text1" w:themeTint="F2"/>
          <w:sz w:val="24"/>
          <w:szCs w:val="24"/>
        </w:rPr>
        <w:t>Shpenzime operative në vlerën  6.479.570 lekë</w:t>
      </w:r>
    </w:p>
    <w:p w:rsidR="00363F52" w:rsidRPr="00172348" w:rsidRDefault="00363F52" w:rsidP="00363F52">
      <w:pPr>
        <w:pStyle w:val="ListParagraph"/>
        <w:numPr>
          <w:ilvl w:val="0"/>
          <w:numId w:val="4"/>
        </w:numPr>
        <w:jc w:val="both"/>
        <w:rPr>
          <w:rFonts w:ascii="Times New Roman" w:eastAsia="Batang" w:hAnsi="Times New Roman"/>
          <w:iCs/>
          <w:color w:val="0D0D0D" w:themeColor="text1" w:themeTint="F2"/>
          <w:sz w:val="24"/>
          <w:szCs w:val="24"/>
        </w:rPr>
      </w:pPr>
      <w:r w:rsidRPr="00172348">
        <w:rPr>
          <w:rFonts w:ascii="Times New Roman" w:eastAsia="Batang" w:hAnsi="Times New Roman"/>
          <w:iCs/>
          <w:color w:val="0D0D0D" w:themeColor="text1" w:themeTint="F2"/>
          <w:sz w:val="24"/>
          <w:szCs w:val="24"/>
        </w:rPr>
        <w:t>Shpenzime kapitale në vlerën  24.331.671  lekë</w:t>
      </w:r>
    </w:p>
    <w:p w:rsidR="00363F52" w:rsidRPr="00000F0F" w:rsidRDefault="00363F52" w:rsidP="00363F52">
      <w:pPr>
        <w:spacing w:line="276" w:lineRule="auto"/>
        <w:ind w:left="90"/>
        <w:jc w:val="both"/>
        <w:rPr>
          <w:color w:val="0D0D0D" w:themeColor="text1" w:themeTint="F2"/>
        </w:rPr>
      </w:pPr>
      <w:r w:rsidRPr="00000F0F">
        <w:rPr>
          <w:color w:val="0D0D0D" w:themeColor="text1" w:themeTint="F2"/>
        </w:rPr>
        <w:t>Një pjesë e tyre janë përdorur  për sigurimin e infrastrukturës së nevojshme për ushtrimin e veprimtarisë</w:t>
      </w:r>
      <w:r>
        <w:rPr>
          <w:color w:val="0D0D0D" w:themeColor="text1" w:themeTint="F2"/>
        </w:rPr>
        <w:t xml:space="preserve">, në vlerën 7.286.385  lekë ( përfshirë  ngurtësimin e garancisë së punimeve),   ndërsa është përdorur fondi nëshpenzime operative  në   vlerën  prej 360.000 lekë. </w:t>
      </w:r>
    </w:p>
    <w:p w:rsidR="00786711" w:rsidRPr="00363F52" w:rsidRDefault="00786711" w:rsidP="00363F52">
      <w:pPr>
        <w:spacing w:line="276" w:lineRule="auto"/>
        <w:rPr>
          <w:color w:val="0D0D0D" w:themeColor="text1" w:themeTint="F2"/>
        </w:rPr>
      </w:pPr>
    </w:p>
    <w:p w:rsidR="00A708BD" w:rsidRPr="00363F52" w:rsidRDefault="00A708BD" w:rsidP="00363F52">
      <w:pPr>
        <w:spacing w:line="276" w:lineRule="auto"/>
        <w:ind w:left="90"/>
        <w:jc w:val="both"/>
        <w:rPr>
          <w:color w:val="0D0D0D" w:themeColor="text1" w:themeTint="F2"/>
        </w:rPr>
      </w:pPr>
    </w:p>
    <w:p w:rsidR="00BC2353" w:rsidRPr="00000F0F" w:rsidRDefault="00BC2353" w:rsidP="00000F0F">
      <w:pPr>
        <w:pStyle w:val="ListParagraph"/>
        <w:numPr>
          <w:ilvl w:val="0"/>
          <w:numId w:val="7"/>
        </w:numPr>
        <w:spacing w:after="0"/>
        <w:jc w:val="both"/>
        <w:rPr>
          <w:rFonts w:ascii="Times New Roman" w:hAnsi="Times New Roman"/>
          <w:b/>
          <w:i/>
          <w:sz w:val="24"/>
          <w:szCs w:val="24"/>
          <w:u w:val="single"/>
          <w:lang w:val="it-IT"/>
        </w:rPr>
      </w:pPr>
      <w:r w:rsidRPr="00000F0F">
        <w:rPr>
          <w:rFonts w:ascii="Times New Roman" w:hAnsi="Times New Roman"/>
          <w:b/>
          <w:i/>
          <w:sz w:val="24"/>
          <w:szCs w:val="24"/>
          <w:u w:val="single"/>
          <w:lang w:val="it-IT"/>
        </w:rPr>
        <w:t>Realizimi i Treguesve ekonomiko-financiare</w:t>
      </w:r>
    </w:p>
    <w:p w:rsidR="00BC2353" w:rsidRPr="00000F0F" w:rsidRDefault="00BC2353" w:rsidP="00000F0F">
      <w:pPr>
        <w:spacing w:line="276" w:lineRule="auto"/>
        <w:rPr>
          <w:color w:val="0D0D0D" w:themeColor="text1" w:themeTint="F2"/>
        </w:rPr>
      </w:pPr>
      <w:r w:rsidRPr="00000F0F">
        <w:rPr>
          <w:lang w:val="it-IT"/>
        </w:rPr>
        <w:tab/>
      </w:r>
    </w:p>
    <w:p w:rsidR="00363F52" w:rsidRPr="00000F0F" w:rsidRDefault="00363F52" w:rsidP="00363F52">
      <w:pPr>
        <w:pStyle w:val="Title"/>
        <w:spacing w:after="40" w:line="276" w:lineRule="auto"/>
        <w:jc w:val="both"/>
        <w:rPr>
          <w:rFonts w:ascii="Times New Roman"/>
          <w:color w:val="0D0D0D" w:themeColor="text1" w:themeTint="F2"/>
          <w:sz w:val="24"/>
          <w:szCs w:val="24"/>
        </w:rPr>
      </w:pPr>
      <w:r w:rsidRPr="00000F0F">
        <w:rPr>
          <w:rFonts w:ascii="Times New Roman"/>
          <w:color w:val="0D0D0D" w:themeColor="text1" w:themeTint="F2"/>
          <w:sz w:val="24"/>
          <w:szCs w:val="24"/>
        </w:rPr>
        <w:t>Zyra e Komisionerit ka ngritur sistemin e menaxhimit financiar dhe kontrollit, i cili është mbështetur në Ligjin nr.10296, datë 8.07.2010 “Mbi menaxhimin financiar e kontrollin”, i ndryshuar si dhe në parimet e menaxhimit të fondeve publike me efektivitetet, transparencë, ekonomi dhe efiçensë.</w:t>
      </w:r>
    </w:p>
    <w:p w:rsidR="00363F52" w:rsidRPr="002C3FD3" w:rsidRDefault="00363F52" w:rsidP="00363F52">
      <w:pPr>
        <w:pStyle w:val="Title"/>
        <w:spacing w:after="40" w:line="276" w:lineRule="auto"/>
        <w:jc w:val="both"/>
        <w:rPr>
          <w:rFonts w:ascii="Times New Roman"/>
          <w:color w:val="0D0D0D" w:themeColor="text1" w:themeTint="F2"/>
          <w:sz w:val="24"/>
          <w:szCs w:val="24"/>
        </w:rPr>
      </w:pPr>
      <w:r w:rsidRPr="002C3FD3">
        <w:rPr>
          <w:rFonts w:ascii="Times New Roman"/>
          <w:color w:val="0D0D0D" w:themeColor="text1" w:themeTint="F2"/>
          <w:sz w:val="24"/>
          <w:szCs w:val="24"/>
        </w:rPr>
        <w:t xml:space="preserve">Zyra e Komisionerit ka ngritur sistemin e menaxhimit financiar dhe kontrollit, i cili është mbështetur në Ligjin nr.10296, datë 8.07.2010 “Mbi menaxhimin financiar e kontrollin”, </w:t>
      </w:r>
      <w:r w:rsidRPr="002C3FD3">
        <w:rPr>
          <w:rFonts w:ascii="Times New Roman"/>
          <w:color w:val="0D0D0D" w:themeColor="text1" w:themeTint="F2"/>
          <w:sz w:val="24"/>
          <w:szCs w:val="24"/>
        </w:rPr>
        <w:lastRenderedPageBreak/>
        <w:t>i ndryshuar si dhe në parimet e menaxhimit të fondeve publike me efektivitetet, transparencë, ekonomi dhe eficensë.</w:t>
      </w:r>
    </w:p>
    <w:p w:rsidR="00363F52" w:rsidRPr="00FD63FD" w:rsidRDefault="00363F52" w:rsidP="00363F52">
      <w:pPr>
        <w:spacing w:line="276" w:lineRule="auto"/>
        <w:jc w:val="both"/>
        <w:rPr>
          <w:color w:val="0D0D0D" w:themeColor="text1" w:themeTint="F2"/>
        </w:rPr>
      </w:pPr>
      <w:r w:rsidRPr="00FD63FD">
        <w:rPr>
          <w:color w:val="0D0D0D" w:themeColor="text1" w:themeTint="F2"/>
        </w:rPr>
        <w:t xml:space="preserve">Nga fondi i përgjithshëm buxhetor janë shpenzuar    </w:t>
      </w:r>
      <w:r w:rsidR="006A2BAB">
        <w:rPr>
          <w:color w:val="0D0D0D" w:themeColor="text1" w:themeTint="F2"/>
        </w:rPr>
        <w:t>65.141</w:t>
      </w:r>
      <w:r w:rsidRPr="00FD63FD">
        <w:rPr>
          <w:color w:val="0D0D0D" w:themeColor="text1" w:themeTint="F2"/>
        </w:rPr>
        <w:t xml:space="preserve">   (</w:t>
      </w:r>
      <w:r w:rsidRPr="00FD63FD">
        <w:rPr>
          <w:i/>
          <w:color w:val="0D0D0D" w:themeColor="text1" w:themeTint="F2"/>
        </w:rPr>
        <w:t>në mijë lekë</w:t>
      </w:r>
      <w:r w:rsidRPr="00FD63FD">
        <w:rPr>
          <w:color w:val="0D0D0D" w:themeColor="text1" w:themeTint="F2"/>
        </w:rPr>
        <w:t>), ku evidentohet përfshirja e  përdorimit të fondit të vecantë</w:t>
      </w:r>
      <w:r w:rsidR="006A2BAB">
        <w:rPr>
          <w:color w:val="0D0D0D" w:themeColor="text1" w:themeTint="F2"/>
        </w:rPr>
        <w:t xml:space="preserve">, me realizim përkundrejt </w:t>
      </w:r>
      <w:r w:rsidRPr="00FD63FD">
        <w:rPr>
          <w:color w:val="0D0D0D" w:themeColor="text1" w:themeTint="F2"/>
        </w:rPr>
        <w:t xml:space="preserve"> </w:t>
      </w:r>
      <w:r w:rsidR="006A2BAB">
        <w:rPr>
          <w:color w:val="0D0D0D" w:themeColor="text1" w:themeTint="F2"/>
        </w:rPr>
        <w:t xml:space="preserve">planit vjetor ne masen 57 % ose përkundrejt planit 8- mujor realizimi është në masën 87 %  </w:t>
      </w:r>
    </w:p>
    <w:p w:rsidR="00363F52" w:rsidRPr="002C3FD3" w:rsidRDefault="00363F52" w:rsidP="00363F52">
      <w:pPr>
        <w:spacing w:line="276" w:lineRule="auto"/>
        <w:jc w:val="both"/>
        <w:rPr>
          <w:color w:val="0D0D0D" w:themeColor="text1" w:themeTint="F2"/>
        </w:rPr>
      </w:pPr>
      <w:r w:rsidRPr="002C3FD3">
        <w:rPr>
          <w:color w:val="080808"/>
        </w:rPr>
        <w:t xml:space="preserve">Tabela e mëposhtne </w:t>
      </w:r>
      <w:r w:rsidRPr="002C3FD3">
        <w:rPr>
          <w:color w:val="0D0D0D" w:themeColor="text1" w:themeTint="F2"/>
        </w:rPr>
        <w:t>pasqyron në %, çdo kategori shpenzimesh, përkundrejt totalit të buxhetit, si dhe realizimi në % dhe vlerë, i secilës kategori shpenzimesh, përkundrejt buxhetit të akorduar.</w:t>
      </w:r>
    </w:p>
    <w:p w:rsidR="00363F52" w:rsidRPr="002C3FD3" w:rsidRDefault="00363F52" w:rsidP="00363F52">
      <w:pPr>
        <w:spacing w:line="276" w:lineRule="auto"/>
        <w:jc w:val="both"/>
        <w:rPr>
          <w:rFonts w:eastAsia="Batang"/>
          <w:lang w:val="it-IT"/>
        </w:rPr>
      </w:pPr>
      <w:r w:rsidRPr="002C3FD3">
        <w:rPr>
          <w:b/>
        </w:rPr>
        <w:t xml:space="preserve"> </w:t>
      </w:r>
    </w:p>
    <w:p w:rsidR="00363F52" w:rsidRPr="002C3FD3" w:rsidRDefault="00363F52" w:rsidP="00363F52">
      <w:pPr>
        <w:pStyle w:val="BodyText3"/>
        <w:spacing w:line="276" w:lineRule="auto"/>
        <w:jc w:val="center"/>
        <w:rPr>
          <w:rFonts w:ascii="Times New Roman" w:hAnsi="Times New Roman"/>
          <w:b/>
          <w:color w:val="244061"/>
          <w:sz w:val="24"/>
          <w:szCs w:val="24"/>
        </w:rPr>
      </w:pPr>
      <w:r w:rsidRPr="002C3FD3">
        <w:rPr>
          <w:rFonts w:ascii="Times New Roman" w:hAnsi="Times New Roman"/>
          <w:b/>
          <w:color w:val="244061"/>
          <w:sz w:val="24"/>
          <w:szCs w:val="24"/>
        </w:rPr>
        <w:t xml:space="preserve">TABELA E AKORDIMIT TË BUXHETIT DHE REALIZIMIT </w:t>
      </w:r>
      <w:r>
        <w:rPr>
          <w:rFonts w:ascii="Times New Roman" w:hAnsi="Times New Roman"/>
          <w:b/>
          <w:color w:val="244061"/>
          <w:sz w:val="24"/>
          <w:szCs w:val="24"/>
        </w:rPr>
        <w:t xml:space="preserve">( i ndryshuar) </w:t>
      </w:r>
    </w:p>
    <w:p w:rsidR="00363F52" w:rsidRPr="002C3FD3" w:rsidRDefault="00363F52" w:rsidP="00363F52">
      <w:pPr>
        <w:pStyle w:val="BodyText3"/>
        <w:spacing w:line="276" w:lineRule="auto"/>
        <w:ind w:left="1440" w:firstLine="720"/>
        <w:rPr>
          <w:rFonts w:ascii="Times New Roman" w:hAnsi="Times New Roman"/>
          <w:b/>
          <w:color w:val="244061"/>
          <w:sz w:val="24"/>
          <w:szCs w:val="24"/>
        </w:rPr>
      </w:pPr>
      <w:r w:rsidRPr="002C3FD3">
        <w:rPr>
          <w:rFonts w:ascii="Times New Roman" w:hAnsi="Times New Roman"/>
          <w:b/>
          <w:color w:val="244061"/>
          <w:sz w:val="24"/>
          <w:szCs w:val="24"/>
        </w:rPr>
        <w:t xml:space="preserve">Janar – </w:t>
      </w:r>
      <w:r w:rsidR="0001728F">
        <w:rPr>
          <w:rFonts w:ascii="Times New Roman" w:hAnsi="Times New Roman"/>
          <w:b/>
          <w:color w:val="244061"/>
          <w:sz w:val="24"/>
          <w:szCs w:val="24"/>
        </w:rPr>
        <w:t>Gusht</w:t>
      </w:r>
      <w:r>
        <w:rPr>
          <w:rFonts w:ascii="Times New Roman" w:hAnsi="Times New Roman"/>
          <w:b/>
          <w:color w:val="244061"/>
          <w:sz w:val="24"/>
          <w:szCs w:val="24"/>
        </w:rPr>
        <w:t xml:space="preserve"> </w:t>
      </w:r>
      <w:r w:rsidRPr="002C3FD3">
        <w:rPr>
          <w:rFonts w:ascii="Times New Roman" w:hAnsi="Times New Roman"/>
          <w:b/>
          <w:color w:val="244061"/>
          <w:sz w:val="24"/>
          <w:szCs w:val="24"/>
        </w:rPr>
        <w:t xml:space="preserve"> 202</w:t>
      </w:r>
      <w:r>
        <w:rPr>
          <w:rFonts w:ascii="Times New Roman" w:hAnsi="Times New Roman"/>
          <w:b/>
          <w:color w:val="244061"/>
          <w:sz w:val="24"/>
          <w:szCs w:val="24"/>
        </w:rPr>
        <w:t>3</w:t>
      </w:r>
      <w:r w:rsidRPr="002C3FD3">
        <w:rPr>
          <w:rFonts w:ascii="Times New Roman" w:hAnsi="Times New Roman"/>
          <w:b/>
          <w:color w:val="215868"/>
          <w:sz w:val="24"/>
          <w:szCs w:val="24"/>
        </w:rPr>
        <w:tab/>
      </w:r>
      <w:r w:rsidRPr="002C3FD3">
        <w:rPr>
          <w:rFonts w:ascii="Times New Roman" w:hAnsi="Times New Roman"/>
          <w:color w:val="215868"/>
          <w:sz w:val="24"/>
          <w:szCs w:val="24"/>
        </w:rPr>
        <w:tab/>
      </w:r>
      <w:r w:rsidRPr="002C3FD3">
        <w:rPr>
          <w:rFonts w:ascii="Times New Roman" w:hAnsi="Times New Roman"/>
          <w:color w:val="215868"/>
          <w:sz w:val="24"/>
          <w:szCs w:val="24"/>
        </w:rPr>
        <w:tab/>
      </w:r>
      <w:r w:rsidRPr="002C3FD3">
        <w:rPr>
          <w:rFonts w:ascii="Times New Roman" w:hAnsi="Times New Roman"/>
          <w:b/>
          <w:color w:val="244061"/>
          <w:sz w:val="24"/>
          <w:szCs w:val="24"/>
        </w:rPr>
        <w:t>000 / lekë</w:t>
      </w:r>
    </w:p>
    <w:tbl>
      <w:tblPr>
        <w:tblW w:w="1052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Layout w:type="fixed"/>
        <w:tblLook w:val="0000" w:firstRow="0" w:lastRow="0" w:firstColumn="0" w:lastColumn="0" w:noHBand="0" w:noVBand="0"/>
      </w:tblPr>
      <w:tblGrid>
        <w:gridCol w:w="720"/>
        <w:gridCol w:w="1823"/>
        <w:gridCol w:w="2222"/>
        <w:gridCol w:w="1710"/>
        <w:gridCol w:w="1350"/>
        <w:gridCol w:w="2700"/>
      </w:tblGrid>
      <w:tr w:rsidR="00363F52" w:rsidRPr="002C3FD3" w:rsidTr="00B538F4">
        <w:trPr>
          <w:trHeight w:val="1493"/>
          <w:jc w:val="center"/>
        </w:trPr>
        <w:tc>
          <w:tcPr>
            <w:tcW w:w="720" w:type="dxa"/>
            <w:shd w:val="clear" w:color="auto" w:fill="DEEAF6"/>
          </w:tcPr>
          <w:p w:rsidR="00363F52" w:rsidRPr="002C3FD3" w:rsidRDefault="00363F52" w:rsidP="00B538F4">
            <w:pPr>
              <w:pStyle w:val="BodyText3"/>
              <w:spacing w:line="276" w:lineRule="auto"/>
              <w:ind w:left="-15" w:firstLine="15"/>
              <w:rPr>
                <w:rFonts w:ascii="Times New Roman" w:hAnsi="Times New Roman"/>
                <w:b/>
                <w:color w:val="000000"/>
                <w:sz w:val="24"/>
                <w:szCs w:val="24"/>
              </w:rPr>
            </w:pPr>
            <w:r w:rsidRPr="002C3FD3">
              <w:rPr>
                <w:rFonts w:ascii="Times New Roman" w:hAnsi="Times New Roman"/>
                <w:b/>
                <w:color w:val="000000"/>
                <w:sz w:val="24"/>
                <w:szCs w:val="24"/>
              </w:rPr>
              <w:t>Nr.</w:t>
            </w:r>
          </w:p>
        </w:tc>
        <w:tc>
          <w:tcPr>
            <w:tcW w:w="1823" w:type="dxa"/>
            <w:shd w:val="clear" w:color="auto" w:fill="DEEAF6"/>
          </w:tcPr>
          <w:p w:rsidR="00363F52" w:rsidRPr="002C3FD3" w:rsidRDefault="00363F52" w:rsidP="00B538F4">
            <w:pPr>
              <w:pStyle w:val="BodyText3"/>
              <w:spacing w:line="276" w:lineRule="auto"/>
              <w:rPr>
                <w:rFonts w:ascii="Times New Roman" w:hAnsi="Times New Roman"/>
                <w:b/>
                <w:color w:val="000000"/>
                <w:sz w:val="24"/>
                <w:szCs w:val="24"/>
              </w:rPr>
            </w:pPr>
            <w:r w:rsidRPr="002C3FD3">
              <w:rPr>
                <w:rFonts w:ascii="Times New Roman" w:hAnsi="Times New Roman"/>
                <w:b/>
                <w:color w:val="000000"/>
                <w:sz w:val="24"/>
                <w:szCs w:val="24"/>
              </w:rPr>
              <w:t>EMËRTIMI</w:t>
            </w:r>
          </w:p>
        </w:tc>
        <w:tc>
          <w:tcPr>
            <w:tcW w:w="2222" w:type="dxa"/>
            <w:shd w:val="clear" w:color="auto" w:fill="DEEAF6"/>
          </w:tcPr>
          <w:p w:rsidR="00363F52" w:rsidRPr="002C3FD3" w:rsidRDefault="00363F52" w:rsidP="00B538F4">
            <w:pPr>
              <w:pStyle w:val="BodyText3"/>
              <w:spacing w:line="276" w:lineRule="auto"/>
              <w:rPr>
                <w:rFonts w:ascii="Times New Roman" w:hAnsi="Times New Roman"/>
                <w:b/>
                <w:color w:val="000000"/>
                <w:sz w:val="24"/>
                <w:szCs w:val="24"/>
              </w:rPr>
            </w:pPr>
            <w:r w:rsidRPr="002C3FD3">
              <w:rPr>
                <w:rFonts w:ascii="Times New Roman" w:hAnsi="Times New Roman"/>
                <w:b/>
                <w:color w:val="000000"/>
                <w:sz w:val="24"/>
                <w:szCs w:val="24"/>
              </w:rPr>
              <w:t>PLAN VJETOR 202</w:t>
            </w:r>
            <w:r>
              <w:rPr>
                <w:rFonts w:ascii="Times New Roman" w:hAnsi="Times New Roman"/>
                <w:b/>
                <w:color w:val="000000"/>
                <w:sz w:val="24"/>
                <w:szCs w:val="24"/>
              </w:rPr>
              <w:t>3</w:t>
            </w:r>
          </w:p>
        </w:tc>
        <w:tc>
          <w:tcPr>
            <w:tcW w:w="1710" w:type="dxa"/>
            <w:shd w:val="clear" w:color="auto" w:fill="DEEAF6"/>
          </w:tcPr>
          <w:p w:rsidR="00363F52" w:rsidRPr="002C3FD3" w:rsidRDefault="00363F52" w:rsidP="00B538F4">
            <w:pPr>
              <w:pStyle w:val="BodyText3"/>
              <w:spacing w:line="276" w:lineRule="auto"/>
              <w:rPr>
                <w:rFonts w:ascii="Times New Roman" w:hAnsi="Times New Roman"/>
                <w:b/>
                <w:color w:val="000000"/>
                <w:sz w:val="24"/>
                <w:szCs w:val="24"/>
              </w:rPr>
            </w:pPr>
            <w:r w:rsidRPr="002C3FD3">
              <w:rPr>
                <w:rFonts w:ascii="Times New Roman" w:hAnsi="Times New Roman"/>
                <w:b/>
                <w:sz w:val="24"/>
                <w:szCs w:val="24"/>
              </w:rPr>
              <w:t>PËRQINDJE KUNDREJT TOTALIT</w:t>
            </w:r>
          </w:p>
        </w:tc>
        <w:tc>
          <w:tcPr>
            <w:tcW w:w="1350" w:type="dxa"/>
            <w:shd w:val="clear" w:color="auto" w:fill="DEEAF6"/>
          </w:tcPr>
          <w:p w:rsidR="00363F52" w:rsidRPr="002C3FD3" w:rsidRDefault="00363F52" w:rsidP="00363F52">
            <w:pPr>
              <w:pStyle w:val="BodyText3"/>
              <w:spacing w:line="276" w:lineRule="auto"/>
              <w:rPr>
                <w:rFonts w:ascii="Times New Roman" w:hAnsi="Times New Roman"/>
                <w:b/>
                <w:color w:val="000000"/>
                <w:sz w:val="24"/>
                <w:szCs w:val="24"/>
              </w:rPr>
            </w:pPr>
            <w:r w:rsidRPr="002C3FD3">
              <w:rPr>
                <w:rFonts w:ascii="Times New Roman" w:hAnsi="Times New Roman"/>
                <w:b/>
                <w:sz w:val="24"/>
                <w:szCs w:val="24"/>
              </w:rPr>
              <w:t xml:space="preserve">FAKT </w:t>
            </w:r>
            <w:r>
              <w:rPr>
                <w:rFonts w:ascii="Times New Roman" w:hAnsi="Times New Roman"/>
                <w:b/>
                <w:sz w:val="24"/>
                <w:szCs w:val="24"/>
              </w:rPr>
              <w:t>8</w:t>
            </w:r>
            <w:r w:rsidRPr="002C3FD3">
              <w:rPr>
                <w:rFonts w:ascii="Times New Roman" w:hAnsi="Times New Roman"/>
                <w:b/>
                <w:sz w:val="24"/>
                <w:szCs w:val="24"/>
              </w:rPr>
              <w:t>-MUJOR</w:t>
            </w:r>
          </w:p>
        </w:tc>
        <w:tc>
          <w:tcPr>
            <w:tcW w:w="2700" w:type="dxa"/>
            <w:shd w:val="clear" w:color="auto" w:fill="DEEAF6"/>
          </w:tcPr>
          <w:p w:rsidR="00363F52" w:rsidRPr="002C3FD3" w:rsidRDefault="00363F52" w:rsidP="00B538F4">
            <w:pPr>
              <w:pStyle w:val="BodyText3"/>
              <w:spacing w:line="276" w:lineRule="auto"/>
              <w:rPr>
                <w:rFonts w:ascii="Times New Roman" w:hAnsi="Times New Roman"/>
                <w:b/>
                <w:color w:val="000000"/>
                <w:sz w:val="24"/>
                <w:szCs w:val="24"/>
              </w:rPr>
            </w:pPr>
            <w:r w:rsidRPr="002C3FD3">
              <w:rPr>
                <w:rFonts w:ascii="Times New Roman" w:hAnsi="Times New Roman"/>
                <w:b/>
                <w:sz w:val="24"/>
                <w:szCs w:val="24"/>
              </w:rPr>
              <w:t>PËRQINDJE REALIZIMI KUNDREJT PLANIT VJETOR</w:t>
            </w:r>
          </w:p>
        </w:tc>
      </w:tr>
      <w:tr w:rsidR="00363F52" w:rsidRPr="002C3FD3" w:rsidTr="00B538F4">
        <w:trPr>
          <w:trHeight w:val="458"/>
          <w:jc w:val="center"/>
        </w:trPr>
        <w:tc>
          <w:tcPr>
            <w:tcW w:w="720" w:type="dxa"/>
            <w:shd w:val="clear" w:color="auto" w:fill="DEEAF6"/>
          </w:tcPr>
          <w:p w:rsidR="00363F52" w:rsidRPr="002C3FD3" w:rsidRDefault="00363F52" w:rsidP="00B538F4">
            <w:pPr>
              <w:pStyle w:val="BodyText3"/>
              <w:spacing w:line="276" w:lineRule="auto"/>
              <w:jc w:val="center"/>
              <w:rPr>
                <w:rFonts w:ascii="Times New Roman" w:hAnsi="Times New Roman"/>
                <w:color w:val="000000"/>
                <w:sz w:val="24"/>
                <w:szCs w:val="24"/>
              </w:rPr>
            </w:pPr>
            <w:r w:rsidRPr="002C3FD3">
              <w:rPr>
                <w:rFonts w:ascii="Times New Roman" w:hAnsi="Times New Roman"/>
                <w:color w:val="000000"/>
                <w:sz w:val="24"/>
                <w:szCs w:val="24"/>
              </w:rPr>
              <w:t>1</w:t>
            </w:r>
          </w:p>
        </w:tc>
        <w:tc>
          <w:tcPr>
            <w:tcW w:w="1823" w:type="dxa"/>
            <w:shd w:val="clear" w:color="auto" w:fill="DEEAF6"/>
          </w:tcPr>
          <w:p w:rsidR="00363F52" w:rsidRPr="002C3FD3" w:rsidRDefault="00363F52" w:rsidP="00B538F4">
            <w:pPr>
              <w:pStyle w:val="BodyText3"/>
              <w:spacing w:line="276" w:lineRule="auto"/>
              <w:jc w:val="center"/>
              <w:rPr>
                <w:rFonts w:ascii="Times New Roman" w:hAnsi="Times New Roman"/>
                <w:color w:val="000000"/>
                <w:sz w:val="24"/>
                <w:szCs w:val="24"/>
              </w:rPr>
            </w:pPr>
            <w:r w:rsidRPr="002C3FD3">
              <w:rPr>
                <w:rFonts w:ascii="Times New Roman" w:hAnsi="Times New Roman"/>
                <w:color w:val="000000"/>
                <w:sz w:val="24"/>
                <w:szCs w:val="24"/>
              </w:rPr>
              <w:t>Paga</w:t>
            </w:r>
          </w:p>
        </w:tc>
        <w:tc>
          <w:tcPr>
            <w:tcW w:w="2222"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78.640</w:t>
            </w:r>
          </w:p>
        </w:tc>
        <w:tc>
          <w:tcPr>
            <w:tcW w:w="1710"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68 %</w:t>
            </w:r>
          </w:p>
        </w:tc>
        <w:tc>
          <w:tcPr>
            <w:tcW w:w="1350" w:type="dxa"/>
            <w:shd w:val="clear" w:color="auto" w:fill="DEEAF6"/>
          </w:tcPr>
          <w:p w:rsidR="00363F52" w:rsidRPr="00113E08" w:rsidRDefault="00363F52" w:rsidP="00363F52">
            <w:pPr>
              <w:spacing w:line="276" w:lineRule="auto"/>
              <w:jc w:val="center"/>
              <w:rPr>
                <w:color w:val="0D0D0D" w:themeColor="text1" w:themeTint="F2"/>
              </w:rPr>
            </w:pPr>
            <w:r>
              <w:rPr>
                <w:color w:val="0D0D0D" w:themeColor="text1" w:themeTint="F2"/>
              </w:rPr>
              <w:t>42.558</w:t>
            </w:r>
          </w:p>
        </w:tc>
        <w:tc>
          <w:tcPr>
            <w:tcW w:w="2700" w:type="dxa"/>
            <w:shd w:val="clear" w:color="auto" w:fill="DEEAF6"/>
          </w:tcPr>
          <w:p w:rsidR="00363F52" w:rsidRPr="00113E08" w:rsidRDefault="0001728F" w:rsidP="0001728F">
            <w:pPr>
              <w:spacing w:line="276" w:lineRule="auto"/>
              <w:rPr>
                <w:color w:val="0D0D0D" w:themeColor="text1" w:themeTint="F2"/>
              </w:rPr>
            </w:pPr>
            <w:r>
              <w:rPr>
                <w:color w:val="0D0D0D" w:themeColor="text1" w:themeTint="F2"/>
              </w:rPr>
              <w:t xml:space="preserve">               54</w:t>
            </w:r>
            <w:r w:rsidR="00363F52" w:rsidRPr="00113E08">
              <w:rPr>
                <w:color w:val="0D0D0D" w:themeColor="text1" w:themeTint="F2"/>
              </w:rPr>
              <w:t xml:space="preserve">  %</w:t>
            </w:r>
          </w:p>
        </w:tc>
      </w:tr>
      <w:tr w:rsidR="00363F52" w:rsidRPr="002C3FD3" w:rsidTr="00B538F4">
        <w:trPr>
          <w:trHeight w:val="953"/>
          <w:jc w:val="center"/>
        </w:trPr>
        <w:tc>
          <w:tcPr>
            <w:tcW w:w="720" w:type="dxa"/>
            <w:shd w:val="clear" w:color="auto" w:fill="DEEAF6"/>
          </w:tcPr>
          <w:p w:rsidR="00363F52" w:rsidRPr="002C3FD3" w:rsidRDefault="00363F52" w:rsidP="00B538F4">
            <w:pPr>
              <w:pStyle w:val="BodyText3"/>
              <w:spacing w:line="276" w:lineRule="auto"/>
              <w:jc w:val="center"/>
              <w:rPr>
                <w:rFonts w:ascii="Times New Roman" w:hAnsi="Times New Roman"/>
                <w:color w:val="000000"/>
                <w:sz w:val="24"/>
                <w:szCs w:val="24"/>
              </w:rPr>
            </w:pPr>
            <w:r w:rsidRPr="002C3FD3">
              <w:rPr>
                <w:rFonts w:ascii="Times New Roman" w:hAnsi="Times New Roman"/>
                <w:color w:val="000000"/>
                <w:sz w:val="24"/>
                <w:szCs w:val="24"/>
              </w:rPr>
              <w:t>2</w:t>
            </w:r>
          </w:p>
        </w:tc>
        <w:tc>
          <w:tcPr>
            <w:tcW w:w="1823" w:type="dxa"/>
            <w:shd w:val="clear" w:color="auto" w:fill="DEEAF6"/>
          </w:tcPr>
          <w:p w:rsidR="00363F52" w:rsidRPr="002C3FD3" w:rsidRDefault="00363F52" w:rsidP="00B538F4">
            <w:pPr>
              <w:pStyle w:val="BodyText3"/>
              <w:spacing w:line="276" w:lineRule="auto"/>
              <w:jc w:val="center"/>
              <w:rPr>
                <w:rFonts w:ascii="Times New Roman" w:hAnsi="Times New Roman"/>
                <w:color w:val="000000"/>
                <w:sz w:val="24"/>
                <w:szCs w:val="24"/>
              </w:rPr>
            </w:pPr>
            <w:r w:rsidRPr="002C3FD3">
              <w:rPr>
                <w:rFonts w:ascii="Times New Roman" w:hAnsi="Times New Roman"/>
                <w:color w:val="000000"/>
                <w:sz w:val="24"/>
                <w:szCs w:val="24"/>
              </w:rPr>
              <w:t>Sigurime shoqërore</w:t>
            </w:r>
          </w:p>
        </w:tc>
        <w:tc>
          <w:tcPr>
            <w:tcW w:w="2222"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12.630</w:t>
            </w:r>
          </w:p>
        </w:tc>
        <w:tc>
          <w:tcPr>
            <w:tcW w:w="1710"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11%</w:t>
            </w:r>
          </w:p>
        </w:tc>
        <w:tc>
          <w:tcPr>
            <w:tcW w:w="1350" w:type="dxa"/>
            <w:shd w:val="clear" w:color="auto" w:fill="DEEAF6"/>
          </w:tcPr>
          <w:p w:rsidR="00363F52" w:rsidRPr="00113E08" w:rsidRDefault="00363F52" w:rsidP="00B538F4">
            <w:pPr>
              <w:spacing w:line="276" w:lineRule="auto"/>
              <w:jc w:val="center"/>
              <w:rPr>
                <w:color w:val="0D0D0D" w:themeColor="text1" w:themeTint="F2"/>
              </w:rPr>
            </w:pPr>
            <w:r>
              <w:rPr>
                <w:color w:val="0D0D0D" w:themeColor="text1" w:themeTint="F2"/>
              </w:rPr>
              <w:t>6.798</w:t>
            </w:r>
          </w:p>
        </w:tc>
        <w:tc>
          <w:tcPr>
            <w:tcW w:w="2700" w:type="dxa"/>
            <w:shd w:val="clear" w:color="auto" w:fill="DEEAF6"/>
          </w:tcPr>
          <w:p w:rsidR="00363F52" w:rsidRPr="00113E08" w:rsidRDefault="00363F52" w:rsidP="0001728F">
            <w:pPr>
              <w:spacing w:line="276" w:lineRule="auto"/>
              <w:ind w:left="-135"/>
              <w:jc w:val="center"/>
              <w:rPr>
                <w:color w:val="0D0D0D" w:themeColor="text1" w:themeTint="F2"/>
              </w:rPr>
            </w:pPr>
            <w:r w:rsidRPr="00113E08">
              <w:rPr>
                <w:color w:val="0D0D0D" w:themeColor="text1" w:themeTint="F2"/>
              </w:rPr>
              <w:t xml:space="preserve"> </w:t>
            </w:r>
            <w:r w:rsidR="0001728F">
              <w:rPr>
                <w:color w:val="0D0D0D" w:themeColor="text1" w:themeTint="F2"/>
              </w:rPr>
              <w:t>54</w:t>
            </w:r>
            <w:r w:rsidRPr="00113E08">
              <w:rPr>
                <w:color w:val="0D0D0D" w:themeColor="text1" w:themeTint="F2"/>
              </w:rPr>
              <w:t xml:space="preserve">  %</w:t>
            </w:r>
          </w:p>
        </w:tc>
      </w:tr>
      <w:tr w:rsidR="00363F52" w:rsidRPr="002C3FD3" w:rsidTr="00B538F4">
        <w:trPr>
          <w:jc w:val="center"/>
        </w:trPr>
        <w:tc>
          <w:tcPr>
            <w:tcW w:w="720" w:type="dxa"/>
            <w:shd w:val="clear" w:color="auto" w:fill="DEEAF6"/>
          </w:tcPr>
          <w:p w:rsidR="00363F52" w:rsidRPr="002C3FD3" w:rsidRDefault="00363F52" w:rsidP="00B538F4">
            <w:pPr>
              <w:pStyle w:val="BodyText3"/>
              <w:spacing w:line="276" w:lineRule="auto"/>
              <w:jc w:val="center"/>
              <w:rPr>
                <w:rFonts w:ascii="Times New Roman" w:hAnsi="Times New Roman"/>
                <w:color w:val="000000"/>
                <w:sz w:val="24"/>
                <w:szCs w:val="24"/>
              </w:rPr>
            </w:pPr>
            <w:r w:rsidRPr="002C3FD3">
              <w:rPr>
                <w:rFonts w:ascii="Times New Roman" w:hAnsi="Times New Roman"/>
                <w:color w:val="000000"/>
                <w:sz w:val="24"/>
                <w:szCs w:val="24"/>
              </w:rPr>
              <w:t>3</w:t>
            </w:r>
          </w:p>
        </w:tc>
        <w:tc>
          <w:tcPr>
            <w:tcW w:w="1823" w:type="dxa"/>
            <w:shd w:val="clear" w:color="auto" w:fill="DEEAF6"/>
          </w:tcPr>
          <w:p w:rsidR="00363F52" w:rsidRPr="002C3FD3" w:rsidRDefault="00363F52" w:rsidP="00B538F4">
            <w:pPr>
              <w:pStyle w:val="BodyText3"/>
              <w:spacing w:line="276" w:lineRule="auto"/>
              <w:jc w:val="center"/>
              <w:rPr>
                <w:rFonts w:ascii="Times New Roman" w:hAnsi="Times New Roman"/>
                <w:color w:val="000000"/>
                <w:sz w:val="24"/>
                <w:szCs w:val="24"/>
              </w:rPr>
            </w:pPr>
            <w:r w:rsidRPr="002C3FD3">
              <w:rPr>
                <w:rFonts w:ascii="Times New Roman" w:hAnsi="Times New Roman"/>
                <w:color w:val="000000"/>
                <w:sz w:val="24"/>
                <w:szCs w:val="24"/>
              </w:rPr>
              <w:t>Mallra e shërbime të tjera</w:t>
            </w:r>
          </w:p>
        </w:tc>
        <w:tc>
          <w:tcPr>
            <w:tcW w:w="2222"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17.220</w:t>
            </w:r>
          </w:p>
        </w:tc>
        <w:tc>
          <w:tcPr>
            <w:tcW w:w="1710"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 xml:space="preserve"> 15   %</w:t>
            </w:r>
          </w:p>
        </w:tc>
        <w:tc>
          <w:tcPr>
            <w:tcW w:w="1350" w:type="dxa"/>
            <w:shd w:val="clear" w:color="auto" w:fill="DEEAF6"/>
          </w:tcPr>
          <w:p w:rsidR="00363F52" w:rsidRPr="00113E08" w:rsidRDefault="00363F52" w:rsidP="00B538F4">
            <w:pPr>
              <w:spacing w:line="276" w:lineRule="auto"/>
              <w:jc w:val="center"/>
              <w:rPr>
                <w:color w:val="0D0D0D" w:themeColor="text1" w:themeTint="F2"/>
              </w:rPr>
            </w:pPr>
            <w:r>
              <w:rPr>
                <w:color w:val="0D0D0D" w:themeColor="text1" w:themeTint="F2"/>
              </w:rPr>
              <w:t>10.145</w:t>
            </w:r>
          </w:p>
        </w:tc>
        <w:tc>
          <w:tcPr>
            <w:tcW w:w="2700" w:type="dxa"/>
            <w:shd w:val="clear" w:color="auto" w:fill="DEEAF6"/>
          </w:tcPr>
          <w:p w:rsidR="00363F52" w:rsidRPr="00113E08" w:rsidRDefault="00363F52" w:rsidP="0001728F">
            <w:pPr>
              <w:spacing w:line="276" w:lineRule="auto"/>
              <w:jc w:val="center"/>
              <w:rPr>
                <w:color w:val="0D0D0D" w:themeColor="text1" w:themeTint="F2"/>
              </w:rPr>
            </w:pPr>
            <w:r w:rsidRPr="00113E08">
              <w:rPr>
                <w:color w:val="0D0D0D" w:themeColor="text1" w:themeTint="F2"/>
              </w:rPr>
              <w:t>5</w:t>
            </w:r>
            <w:r w:rsidR="0001728F">
              <w:rPr>
                <w:color w:val="0D0D0D" w:themeColor="text1" w:themeTint="F2"/>
              </w:rPr>
              <w:t>9</w:t>
            </w:r>
            <w:r w:rsidRPr="00113E08">
              <w:rPr>
                <w:color w:val="0D0D0D" w:themeColor="text1" w:themeTint="F2"/>
              </w:rPr>
              <w:t xml:space="preserve">  %</w:t>
            </w:r>
          </w:p>
        </w:tc>
      </w:tr>
      <w:tr w:rsidR="00363F52" w:rsidRPr="002C3FD3" w:rsidTr="00B538F4">
        <w:trPr>
          <w:jc w:val="center"/>
        </w:trPr>
        <w:tc>
          <w:tcPr>
            <w:tcW w:w="720" w:type="dxa"/>
            <w:shd w:val="clear" w:color="auto" w:fill="DEEAF6"/>
          </w:tcPr>
          <w:p w:rsidR="00363F52" w:rsidRPr="002C3FD3" w:rsidRDefault="00363F52" w:rsidP="00B538F4">
            <w:pPr>
              <w:pStyle w:val="BodyText3"/>
              <w:spacing w:line="276" w:lineRule="auto"/>
              <w:jc w:val="center"/>
              <w:rPr>
                <w:rFonts w:ascii="Times New Roman" w:hAnsi="Times New Roman"/>
                <w:color w:val="000000"/>
                <w:sz w:val="24"/>
                <w:szCs w:val="24"/>
              </w:rPr>
            </w:pPr>
            <w:r w:rsidRPr="002C3FD3">
              <w:rPr>
                <w:rFonts w:ascii="Times New Roman" w:hAnsi="Times New Roman"/>
                <w:color w:val="000000"/>
                <w:sz w:val="24"/>
                <w:szCs w:val="24"/>
              </w:rPr>
              <w:t>4</w:t>
            </w:r>
          </w:p>
        </w:tc>
        <w:tc>
          <w:tcPr>
            <w:tcW w:w="1823" w:type="dxa"/>
            <w:shd w:val="clear" w:color="auto" w:fill="DEEAF6"/>
          </w:tcPr>
          <w:p w:rsidR="00363F52" w:rsidRPr="002C3FD3" w:rsidRDefault="00363F52" w:rsidP="00B538F4">
            <w:pPr>
              <w:pStyle w:val="BodyText3"/>
              <w:spacing w:line="276" w:lineRule="auto"/>
              <w:jc w:val="center"/>
              <w:rPr>
                <w:rFonts w:ascii="Times New Roman" w:hAnsi="Times New Roman"/>
                <w:color w:val="000000"/>
                <w:sz w:val="24"/>
                <w:szCs w:val="24"/>
              </w:rPr>
            </w:pPr>
            <w:r w:rsidRPr="002C3FD3">
              <w:rPr>
                <w:rFonts w:ascii="Times New Roman" w:hAnsi="Times New Roman"/>
                <w:color w:val="000000"/>
                <w:sz w:val="24"/>
                <w:szCs w:val="24"/>
              </w:rPr>
              <w:t>Investime</w:t>
            </w:r>
          </w:p>
        </w:tc>
        <w:tc>
          <w:tcPr>
            <w:tcW w:w="2222"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6.000</w:t>
            </w:r>
          </w:p>
        </w:tc>
        <w:tc>
          <w:tcPr>
            <w:tcW w:w="1710"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 xml:space="preserve"> 5.2   %</w:t>
            </w:r>
          </w:p>
        </w:tc>
        <w:tc>
          <w:tcPr>
            <w:tcW w:w="1350"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5.400</w:t>
            </w:r>
          </w:p>
        </w:tc>
        <w:tc>
          <w:tcPr>
            <w:tcW w:w="2700"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90</w:t>
            </w:r>
            <w:r w:rsidR="0001728F">
              <w:rPr>
                <w:color w:val="0D0D0D" w:themeColor="text1" w:themeTint="F2"/>
              </w:rPr>
              <w:t xml:space="preserve"> </w:t>
            </w:r>
            <w:r w:rsidRPr="00113E08">
              <w:rPr>
                <w:color w:val="0D0D0D" w:themeColor="text1" w:themeTint="F2"/>
              </w:rPr>
              <w:t>%</w:t>
            </w:r>
          </w:p>
        </w:tc>
      </w:tr>
      <w:tr w:rsidR="00363F52" w:rsidRPr="002C3FD3" w:rsidTr="00B538F4">
        <w:trPr>
          <w:jc w:val="center"/>
        </w:trPr>
        <w:tc>
          <w:tcPr>
            <w:tcW w:w="720" w:type="dxa"/>
            <w:shd w:val="clear" w:color="auto" w:fill="DEEAF6"/>
          </w:tcPr>
          <w:p w:rsidR="00363F52" w:rsidRPr="002C3FD3" w:rsidRDefault="00363F52" w:rsidP="00B538F4">
            <w:pPr>
              <w:pStyle w:val="BodyText3"/>
              <w:spacing w:line="276" w:lineRule="auto"/>
              <w:jc w:val="center"/>
              <w:rPr>
                <w:rFonts w:ascii="Times New Roman" w:hAnsi="Times New Roman"/>
                <w:color w:val="000000"/>
                <w:sz w:val="24"/>
                <w:szCs w:val="24"/>
              </w:rPr>
            </w:pPr>
            <w:r w:rsidRPr="002C3FD3">
              <w:rPr>
                <w:rFonts w:ascii="Times New Roman" w:hAnsi="Times New Roman"/>
                <w:color w:val="000000"/>
                <w:sz w:val="24"/>
                <w:szCs w:val="24"/>
              </w:rPr>
              <w:t>5</w:t>
            </w:r>
          </w:p>
        </w:tc>
        <w:tc>
          <w:tcPr>
            <w:tcW w:w="1823" w:type="dxa"/>
            <w:shd w:val="clear" w:color="auto" w:fill="DEEAF6"/>
          </w:tcPr>
          <w:p w:rsidR="00363F52" w:rsidRPr="002C3FD3" w:rsidRDefault="00363F52" w:rsidP="00B538F4">
            <w:pPr>
              <w:pStyle w:val="BodyText3"/>
              <w:spacing w:line="276" w:lineRule="auto"/>
              <w:jc w:val="center"/>
              <w:rPr>
                <w:rFonts w:ascii="Times New Roman" w:hAnsi="Times New Roman"/>
                <w:color w:val="000000"/>
                <w:sz w:val="24"/>
                <w:szCs w:val="24"/>
              </w:rPr>
            </w:pPr>
            <w:r w:rsidRPr="002C3FD3">
              <w:rPr>
                <w:rFonts w:ascii="Times New Roman" w:hAnsi="Times New Roman"/>
                <w:color w:val="000000"/>
                <w:sz w:val="24"/>
                <w:szCs w:val="24"/>
              </w:rPr>
              <w:t>Transferta te buxhetet familjare</w:t>
            </w:r>
          </w:p>
        </w:tc>
        <w:tc>
          <w:tcPr>
            <w:tcW w:w="2222"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240</w:t>
            </w:r>
          </w:p>
        </w:tc>
        <w:tc>
          <w:tcPr>
            <w:tcW w:w="1710"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0.2 %</w:t>
            </w:r>
          </w:p>
        </w:tc>
        <w:tc>
          <w:tcPr>
            <w:tcW w:w="1350"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140</w:t>
            </w:r>
          </w:p>
        </w:tc>
        <w:tc>
          <w:tcPr>
            <w:tcW w:w="2700"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58  %</w:t>
            </w:r>
          </w:p>
        </w:tc>
      </w:tr>
      <w:tr w:rsidR="00363F52" w:rsidRPr="002C3FD3" w:rsidTr="00B538F4">
        <w:trPr>
          <w:jc w:val="center"/>
        </w:trPr>
        <w:tc>
          <w:tcPr>
            <w:tcW w:w="720" w:type="dxa"/>
            <w:shd w:val="clear" w:color="auto" w:fill="DEEAF6"/>
          </w:tcPr>
          <w:p w:rsidR="00363F52" w:rsidRPr="002C3FD3" w:rsidRDefault="00363F52" w:rsidP="00B538F4">
            <w:pPr>
              <w:pStyle w:val="BodyText3"/>
              <w:spacing w:line="276" w:lineRule="auto"/>
              <w:jc w:val="center"/>
              <w:rPr>
                <w:rFonts w:ascii="Times New Roman" w:hAnsi="Times New Roman"/>
                <w:color w:val="000000"/>
                <w:sz w:val="24"/>
                <w:szCs w:val="24"/>
              </w:rPr>
            </w:pPr>
            <w:r w:rsidRPr="002C3FD3">
              <w:rPr>
                <w:rFonts w:ascii="Times New Roman" w:hAnsi="Times New Roman"/>
                <w:color w:val="000000"/>
                <w:sz w:val="24"/>
                <w:szCs w:val="24"/>
              </w:rPr>
              <w:t>6</w:t>
            </w:r>
          </w:p>
        </w:tc>
        <w:tc>
          <w:tcPr>
            <w:tcW w:w="1823" w:type="dxa"/>
            <w:shd w:val="clear" w:color="auto" w:fill="DEEAF6"/>
          </w:tcPr>
          <w:p w:rsidR="00363F52" w:rsidRPr="002C3FD3" w:rsidRDefault="00363F52" w:rsidP="00B538F4">
            <w:pPr>
              <w:pStyle w:val="BodyText3"/>
              <w:spacing w:line="276" w:lineRule="auto"/>
              <w:jc w:val="center"/>
              <w:rPr>
                <w:rFonts w:ascii="Times New Roman" w:hAnsi="Times New Roman"/>
                <w:b/>
                <w:color w:val="000000"/>
                <w:sz w:val="24"/>
                <w:szCs w:val="24"/>
              </w:rPr>
            </w:pPr>
            <w:r w:rsidRPr="002C3FD3">
              <w:rPr>
                <w:rFonts w:ascii="Times New Roman" w:hAnsi="Times New Roman"/>
                <w:b/>
                <w:color w:val="000000"/>
                <w:sz w:val="24"/>
                <w:szCs w:val="24"/>
              </w:rPr>
              <w:t>Kuotizacion</w:t>
            </w:r>
          </w:p>
        </w:tc>
        <w:tc>
          <w:tcPr>
            <w:tcW w:w="2222"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100</w:t>
            </w:r>
          </w:p>
        </w:tc>
        <w:tc>
          <w:tcPr>
            <w:tcW w:w="1710"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0.01 %</w:t>
            </w:r>
          </w:p>
        </w:tc>
        <w:tc>
          <w:tcPr>
            <w:tcW w:w="1350"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0</w:t>
            </w:r>
          </w:p>
        </w:tc>
        <w:tc>
          <w:tcPr>
            <w:tcW w:w="2700" w:type="dxa"/>
            <w:shd w:val="clear" w:color="auto" w:fill="DEEAF6"/>
          </w:tcPr>
          <w:p w:rsidR="00363F52" w:rsidRPr="00113E08" w:rsidRDefault="00363F52" w:rsidP="00B538F4">
            <w:pPr>
              <w:spacing w:line="276" w:lineRule="auto"/>
              <w:jc w:val="center"/>
              <w:rPr>
                <w:color w:val="0D0D0D" w:themeColor="text1" w:themeTint="F2"/>
              </w:rPr>
            </w:pPr>
            <w:r w:rsidRPr="00113E08">
              <w:rPr>
                <w:color w:val="0D0D0D" w:themeColor="text1" w:themeTint="F2"/>
              </w:rPr>
              <w:t>0</w:t>
            </w:r>
          </w:p>
        </w:tc>
      </w:tr>
      <w:tr w:rsidR="00363F52" w:rsidRPr="002C3FD3" w:rsidTr="00B538F4">
        <w:trPr>
          <w:jc w:val="center"/>
        </w:trPr>
        <w:tc>
          <w:tcPr>
            <w:tcW w:w="720" w:type="dxa"/>
            <w:shd w:val="clear" w:color="auto" w:fill="DEEAF6"/>
          </w:tcPr>
          <w:p w:rsidR="00363F52" w:rsidRPr="002C3FD3" w:rsidRDefault="00363F52" w:rsidP="00B538F4">
            <w:pPr>
              <w:pStyle w:val="BodyText3"/>
              <w:spacing w:line="276" w:lineRule="auto"/>
              <w:jc w:val="center"/>
              <w:rPr>
                <w:rFonts w:ascii="Times New Roman" w:hAnsi="Times New Roman"/>
                <w:b/>
                <w:color w:val="000000"/>
                <w:sz w:val="24"/>
                <w:szCs w:val="24"/>
              </w:rPr>
            </w:pPr>
          </w:p>
        </w:tc>
        <w:tc>
          <w:tcPr>
            <w:tcW w:w="1823" w:type="dxa"/>
            <w:shd w:val="clear" w:color="auto" w:fill="DEEAF6"/>
          </w:tcPr>
          <w:p w:rsidR="00363F52" w:rsidRPr="002C3FD3" w:rsidRDefault="00363F52" w:rsidP="00B538F4">
            <w:pPr>
              <w:pStyle w:val="BodyText3"/>
              <w:spacing w:line="276" w:lineRule="auto"/>
              <w:jc w:val="center"/>
              <w:rPr>
                <w:rFonts w:ascii="Times New Roman" w:hAnsi="Times New Roman"/>
                <w:b/>
                <w:color w:val="000000"/>
                <w:sz w:val="24"/>
                <w:szCs w:val="24"/>
              </w:rPr>
            </w:pPr>
            <w:r>
              <w:rPr>
                <w:rFonts w:ascii="Times New Roman" w:hAnsi="Times New Roman"/>
                <w:b/>
                <w:color w:val="000000"/>
                <w:sz w:val="24"/>
                <w:szCs w:val="24"/>
              </w:rPr>
              <w:t xml:space="preserve">Totali </w:t>
            </w:r>
          </w:p>
        </w:tc>
        <w:tc>
          <w:tcPr>
            <w:tcW w:w="2222" w:type="dxa"/>
            <w:shd w:val="clear" w:color="auto" w:fill="DEEAF6"/>
          </w:tcPr>
          <w:p w:rsidR="00363F52" w:rsidRPr="00113E08" w:rsidRDefault="00363F52" w:rsidP="00B538F4">
            <w:pPr>
              <w:pStyle w:val="BodyText3"/>
              <w:spacing w:line="276" w:lineRule="auto"/>
              <w:jc w:val="center"/>
              <w:rPr>
                <w:rFonts w:ascii="Times New Roman" w:hAnsi="Times New Roman"/>
                <w:b/>
                <w:color w:val="0D0D0D" w:themeColor="text1" w:themeTint="F2"/>
                <w:sz w:val="24"/>
                <w:szCs w:val="24"/>
              </w:rPr>
            </w:pPr>
            <w:r w:rsidRPr="00113E08">
              <w:rPr>
                <w:rFonts w:ascii="Times New Roman" w:hAnsi="Times New Roman"/>
                <w:b/>
                <w:color w:val="0D0D0D" w:themeColor="text1" w:themeTint="F2"/>
                <w:sz w:val="24"/>
                <w:szCs w:val="24"/>
              </w:rPr>
              <w:t>114.830</w:t>
            </w:r>
          </w:p>
        </w:tc>
        <w:tc>
          <w:tcPr>
            <w:tcW w:w="1710" w:type="dxa"/>
            <w:shd w:val="clear" w:color="auto" w:fill="DEEAF6"/>
          </w:tcPr>
          <w:p w:rsidR="00363F52" w:rsidRPr="00113E08" w:rsidRDefault="00363F52" w:rsidP="00B538F4">
            <w:pPr>
              <w:pStyle w:val="BodyText3"/>
              <w:spacing w:line="276" w:lineRule="auto"/>
              <w:jc w:val="center"/>
              <w:rPr>
                <w:rFonts w:ascii="Times New Roman" w:hAnsi="Times New Roman"/>
                <w:color w:val="0D0D0D" w:themeColor="text1" w:themeTint="F2"/>
                <w:sz w:val="24"/>
                <w:szCs w:val="24"/>
              </w:rPr>
            </w:pPr>
          </w:p>
        </w:tc>
        <w:tc>
          <w:tcPr>
            <w:tcW w:w="1350" w:type="dxa"/>
            <w:shd w:val="clear" w:color="auto" w:fill="DEEAF6"/>
          </w:tcPr>
          <w:p w:rsidR="00363F52" w:rsidRPr="00113E08" w:rsidRDefault="00E87A40" w:rsidP="00B538F4">
            <w:pPr>
              <w:pStyle w:val="BodyText3"/>
              <w:spacing w:line="276"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65.041</w:t>
            </w:r>
          </w:p>
        </w:tc>
        <w:tc>
          <w:tcPr>
            <w:tcW w:w="2700" w:type="dxa"/>
            <w:shd w:val="clear" w:color="auto" w:fill="DEEAF6"/>
          </w:tcPr>
          <w:p w:rsidR="00363F52" w:rsidRPr="00113E08" w:rsidRDefault="0001728F" w:rsidP="003C3A7D">
            <w:pPr>
              <w:pStyle w:val="BodyText3"/>
              <w:spacing w:line="276"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 xml:space="preserve"> </w:t>
            </w:r>
            <w:r w:rsidR="003C3A7D">
              <w:rPr>
                <w:rFonts w:ascii="Times New Roman" w:hAnsi="Times New Roman"/>
                <w:b/>
                <w:color w:val="0D0D0D" w:themeColor="text1" w:themeTint="F2"/>
                <w:sz w:val="24"/>
                <w:szCs w:val="24"/>
              </w:rPr>
              <w:t xml:space="preserve">57 </w:t>
            </w:r>
            <w:r w:rsidR="00363F52" w:rsidRPr="00113E08">
              <w:rPr>
                <w:rFonts w:ascii="Times New Roman" w:hAnsi="Times New Roman"/>
                <w:b/>
                <w:color w:val="0D0D0D" w:themeColor="text1" w:themeTint="F2"/>
                <w:sz w:val="24"/>
                <w:szCs w:val="24"/>
              </w:rPr>
              <w:t>%</w:t>
            </w:r>
          </w:p>
        </w:tc>
      </w:tr>
      <w:tr w:rsidR="00363F52" w:rsidRPr="002C3FD3" w:rsidTr="00B538F4">
        <w:trPr>
          <w:jc w:val="center"/>
        </w:trPr>
        <w:tc>
          <w:tcPr>
            <w:tcW w:w="720" w:type="dxa"/>
            <w:shd w:val="clear" w:color="auto" w:fill="DEEAF6"/>
          </w:tcPr>
          <w:p w:rsidR="00363F52" w:rsidRPr="002C3FD3" w:rsidRDefault="00363F52" w:rsidP="00B538F4">
            <w:pPr>
              <w:pStyle w:val="BodyText3"/>
              <w:spacing w:line="276" w:lineRule="auto"/>
              <w:jc w:val="center"/>
              <w:rPr>
                <w:rFonts w:ascii="Times New Roman" w:hAnsi="Times New Roman"/>
                <w:b/>
                <w:color w:val="000000"/>
                <w:sz w:val="24"/>
                <w:szCs w:val="24"/>
              </w:rPr>
            </w:pPr>
            <w:r w:rsidRPr="002C3FD3">
              <w:rPr>
                <w:rFonts w:ascii="Times New Roman" w:hAnsi="Times New Roman"/>
                <w:b/>
                <w:color w:val="000000"/>
                <w:sz w:val="24"/>
                <w:szCs w:val="24"/>
              </w:rPr>
              <w:t>7</w:t>
            </w:r>
          </w:p>
        </w:tc>
        <w:tc>
          <w:tcPr>
            <w:tcW w:w="1823" w:type="dxa"/>
            <w:shd w:val="clear" w:color="auto" w:fill="DEEAF6"/>
          </w:tcPr>
          <w:p w:rsidR="00363F52" w:rsidRPr="002C3FD3" w:rsidRDefault="00363F52" w:rsidP="00B538F4">
            <w:pPr>
              <w:pStyle w:val="BodyText3"/>
              <w:spacing w:line="276" w:lineRule="auto"/>
              <w:jc w:val="center"/>
              <w:rPr>
                <w:rFonts w:ascii="Times New Roman" w:hAnsi="Times New Roman"/>
                <w:b/>
                <w:color w:val="000000"/>
                <w:sz w:val="24"/>
                <w:szCs w:val="24"/>
              </w:rPr>
            </w:pPr>
            <w:r w:rsidRPr="002C3FD3">
              <w:rPr>
                <w:rFonts w:ascii="Times New Roman" w:hAnsi="Times New Roman"/>
                <w:b/>
                <w:color w:val="000000"/>
                <w:sz w:val="24"/>
                <w:szCs w:val="24"/>
              </w:rPr>
              <w:t>Fondi i vecantë</w:t>
            </w:r>
          </w:p>
        </w:tc>
        <w:tc>
          <w:tcPr>
            <w:tcW w:w="2222" w:type="dxa"/>
            <w:shd w:val="clear" w:color="auto" w:fill="DEEAF6"/>
          </w:tcPr>
          <w:p w:rsidR="00363F52" w:rsidRPr="00113E08" w:rsidRDefault="00363F52" w:rsidP="00B538F4">
            <w:pPr>
              <w:pStyle w:val="BodyText3"/>
              <w:spacing w:line="276" w:lineRule="auto"/>
              <w:jc w:val="center"/>
              <w:rPr>
                <w:rFonts w:ascii="Times New Roman" w:hAnsi="Times New Roman"/>
                <w:color w:val="0D0D0D" w:themeColor="text1" w:themeTint="F2"/>
                <w:sz w:val="24"/>
                <w:szCs w:val="24"/>
              </w:rPr>
            </w:pPr>
            <w:r w:rsidRPr="00113E08">
              <w:rPr>
                <w:rFonts w:ascii="Times New Roman" w:hAnsi="Times New Roman"/>
                <w:color w:val="0D0D0D" w:themeColor="text1" w:themeTint="F2"/>
                <w:sz w:val="24"/>
                <w:szCs w:val="24"/>
              </w:rPr>
              <w:t xml:space="preserve"> 250</w:t>
            </w:r>
          </w:p>
        </w:tc>
        <w:tc>
          <w:tcPr>
            <w:tcW w:w="1710" w:type="dxa"/>
            <w:shd w:val="clear" w:color="auto" w:fill="DEEAF6"/>
          </w:tcPr>
          <w:p w:rsidR="00363F52" w:rsidRPr="00113E08" w:rsidRDefault="00363F52" w:rsidP="00B538F4">
            <w:pPr>
              <w:pStyle w:val="BodyText3"/>
              <w:spacing w:line="276" w:lineRule="auto"/>
              <w:jc w:val="center"/>
              <w:rPr>
                <w:rFonts w:ascii="Times New Roman" w:hAnsi="Times New Roman"/>
                <w:color w:val="0D0D0D" w:themeColor="text1" w:themeTint="F2"/>
                <w:sz w:val="24"/>
                <w:szCs w:val="24"/>
              </w:rPr>
            </w:pPr>
            <w:r w:rsidRPr="00113E08">
              <w:rPr>
                <w:rFonts w:ascii="Times New Roman" w:hAnsi="Times New Roman"/>
                <w:color w:val="0D0D0D" w:themeColor="text1" w:themeTint="F2"/>
                <w:sz w:val="24"/>
                <w:szCs w:val="24"/>
              </w:rPr>
              <w:t>0.2 %</w:t>
            </w:r>
          </w:p>
        </w:tc>
        <w:tc>
          <w:tcPr>
            <w:tcW w:w="1350" w:type="dxa"/>
            <w:shd w:val="clear" w:color="auto" w:fill="DEEAF6"/>
          </w:tcPr>
          <w:p w:rsidR="00363F52" w:rsidRPr="00113E08" w:rsidRDefault="00363F52" w:rsidP="00B538F4">
            <w:pPr>
              <w:pStyle w:val="BodyText3"/>
              <w:spacing w:line="276" w:lineRule="auto"/>
              <w:jc w:val="center"/>
              <w:rPr>
                <w:rFonts w:ascii="Times New Roman" w:hAnsi="Times New Roman"/>
                <w:color w:val="0D0D0D" w:themeColor="text1" w:themeTint="F2"/>
                <w:sz w:val="24"/>
                <w:szCs w:val="24"/>
              </w:rPr>
            </w:pPr>
            <w:r w:rsidRPr="00113E08">
              <w:rPr>
                <w:rFonts w:ascii="Times New Roman" w:hAnsi="Times New Roman"/>
                <w:color w:val="0D0D0D" w:themeColor="text1" w:themeTint="F2"/>
                <w:sz w:val="24"/>
                <w:szCs w:val="24"/>
              </w:rPr>
              <w:t>100</w:t>
            </w:r>
          </w:p>
        </w:tc>
        <w:tc>
          <w:tcPr>
            <w:tcW w:w="2700" w:type="dxa"/>
            <w:shd w:val="clear" w:color="auto" w:fill="DEEAF6"/>
          </w:tcPr>
          <w:p w:rsidR="00363F52" w:rsidRPr="00113E08" w:rsidRDefault="00363F52" w:rsidP="00B538F4">
            <w:pPr>
              <w:pStyle w:val="BodyText3"/>
              <w:spacing w:line="276" w:lineRule="auto"/>
              <w:jc w:val="center"/>
              <w:rPr>
                <w:rFonts w:ascii="Times New Roman" w:hAnsi="Times New Roman"/>
                <w:b/>
                <w:color w:val="0D0D0D" w:themeColor="text1" w:themeTint="F2"/>
                <w:sz w:val="24"/>
                <w:szCs w:val="24"/>
              </w:rPr>
            </w:pPr>
            <w:r w:rsidRPr="00113E08">
              <w:rPr>
                <w:rFonts w:ascii="Times New Roman" w:hAnsi="Times New Roman"/>
                <w:b/>
                <w:color w:val="0D0D0D" w:themeColor="text1" w:themeTint="F2"/>
                <w:sz w:val="24"/>
                <w:szCs w:val="24"/>
              </w:rPr>
              <w:t>40 %</w:t>
            </w:r>
          </w:p>
        </w:tc>
      </w:tr>
      <w:tr w:rsidR="00363F52" w:rsidRPr="002C3FD3" w:rsidTr="00B538F4">
        <w:trPr>
          <w:jc w:val="center"/>
        </w:trPr>
        <w:tc>
          <w:tcPr>
            <w:tcW w:w="720" w:type="dxa"/>
            <w:shd w:val="clear" w:color="auto" w:fill="DEEAF6"/>
          </w:tcPr>
          <w:p w:rsidR="00363F52" w:rsidRPr="002C3FD3" w:rsidRDefault="00363F52" w:rsidP="00B538F4">
            <w:pPr>
              <w:pStyle w:val="BodyText3"/>
              <w:spacing w:line="276" w:lineRule="auto"/>
              <w:jc w:val="center"/>
              <w:rPr>
                <w:rFonts w:ascii="Times New Roman" w:hAnsi="Times New Roman"/>
                <w:b/>
                <w:color w:val="000000"/>
                <w:sz w:val="24"/>
                <w:szCs w:val="24"/>
              </w:rPr>
            </w:pPr>
          </w:p>
        </w:tc>
        <w:tc>
          <w:tcPr>
            <w:tcW w:w="1823" w:type="dxa"/>
            <w:shd w:val="clear" w:color="auto" w:fill="DEEAF6"/>
          </w:tcPr>
          <w:p w:rsidR="00363F52" w:rsidRPr="002C3FD3" w:rsidRDefault="00363F52" w:rsidP="00B538F4">
            <w:pPr>
              <w:pStyle w:val="BodyText3"/>
              <w:spacing w:line="276" w:lineRule="auto"/>
              <w:jc w:val="center"/>
              <w:rPr>
                <w:rFonts w:ascii="Times New Roman" w:hAnsi="Times New Roman"/>
                <w:b/>
                <w:color w:val="000000"/>
                <w:sz w:val="24"/>
                <w:szCs w:val="24"/>
              </w:rPr>
            </w:pPr>
            <w:r w:rsidRPr="002C3FD3">
              <w:rPr>
                <w:rFonts w:ascii="Times New Roman" w:hAnsi="Times New Roman"/>
                <w:b/>
                <w:color w:val="000000"/>
                <w:sz w:val="24"/>
                <w:szCs w:val="24"/>
              </w:rPr>
              <w:t>Totali</w:t>
            </w:r>
            <w:r>
              <w:rPr>
                <w:rFonts w:ascii="Times New Roman" w:hAnsi="Times New Roman"/>
                <w:b/>
                <w:color w:val="000000"/>
                <w:sz w:val="24"/>
                <w:szCs w:val="24"/>
              </w:rPr>
              <w:t xml:space="preserve"> final </w:t>
            </w:r>
          </w:p>
        </w:tc>
        <w:tc>
          <w:tcPr>
            <w:tcW w:w="2222" w:type="dxa"/>
            <w:shd w:val="clear" w:color="auto" w:fill="DEEAF6"/>
          </w:tcPr>
          <w:p w:rsidR="00363F52" w:rsidRPr="00113E08" w:rsidRDefault="00363F52" w:rsidP="00B538F4">
            <w:pPr>
              <w:pStyle w:val="BodyText3"/>
              <w:spacing w:line="276" w:lineRule="auto"/>
              <w:jc w:val="center"/>
              <w:rPr>
                <w:rFonts w:ascii="Times New Roman" w:hAnsi="Times New Roman"/>
                <w:b/>
                <w:color w:val="0D0D0D" w:themeColor="text1" w:themeTint="F2"/>
                <w:sz w:val="24"/>
                <w:szCs w:val="24"/>
              </w:rPr>
            </w:pPr>
            <w:r w:rsidRPr="00113E08">
              <w:rPr>
                <w:rFonts w:ascii="Times New Roman" w:hAnsi="Times New Roman"/>
                <w:b/>
                <w:color w:val="0D0D0D" w:themeColor="text1" w:themeTint="F2"/>
                <w:sz w:val="24"/>
                <w:szCs w:val="24"/>
              </w:rPr>
              <w:t>115.080</w:t>
            </w:r>
          </w:p>
        </w:tc>
        <w:tc>
          <w:tcPr>
            <w:tcW w:w="1710" w:type="dxa"/>
            <w:shd w:val="clear" w:color="auto" w:fill="DEEAF6"/>
          </w:tcPr>
          <w:p w:rsidR="00363F52" w:rsidRPr="00113E08" w:rsidRDefault="00363F52" w:rsidP="00B538F4">
            <w:pPr>
              <w:pStyle w:val="BodyText3"/>
              <w:spacing w:line="276" w:lineRule="auto"/>
              <w:jc w:val="center"/>
              <w:rPr>
                <w:rFonts w:ascii="Times New Roman" w:hAnsi="Times New Roman"/>
                <w:b/>
                <w:color w:val="0D0D0D" w:themeColor="text1" w:themeTint="F2"/>
                <w:sz w:val="24"/>
                <w:szCs w:val="24"/>
              </w:rPr>
            </w:pPr>
            <w:r w:rsidRPr="00113E08">
              <w:rPr>
                <w:rFonts w:ascii="Times New Roman" w:hAnsi="Times New Roman"/>
                <w:b/>
                <w:color w:val="0D0D0D" w:themeColor="text1" w:themeTint="F2"/>
                <w:sz w:val="24"/>
                <w:szCs w:val="24"/>
              </w:rPr>
              <w:t>100</w:t>
            </w:r>
          </w:p>
        </w:tc>
        <w:tc>
          <w:tcPr>
            <w:tcW w:w="1350" w:type="dxa"/>
            <w:shd w:val="clear" w:color="auto" w:fill="DEEAF6"/>
          </w:tcPr>
          <w:p w:rsidR="00363F52" w:rsidRPr="00113E08" w:rsidRDefault="00E87A40" w:rsidP="00B538F4">
            <w:pPr>
              <w:pStyle w:val="BodyText3"/>
              <w:spacing w:line="276"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 xml:space="preserve"> </w:t>
            </w:r>
            <w:r w:rsidR="003C3A7D">
              <w:rPr>
                <w:rFonts w:ascii="Times New Roman" w:hAnsi="Times New Roman"/>
                <w:b/>
                <w:color w:val="0D0D0D" w:themeColor="text1" w:themeTint="F2"/>
                <w:sz w:val="24"/>
                <w:szCs w:val="24"/>
              </w:rPr>
              <w:t>65.141</w:t>
            </w:r>
          </w:p>
        </w:tc>
        <w:tc>
          <w:tcPr>
            <w:tcW w:w="2700" w:type="dxa"/>
            <w:shd w:val="clear" w:color="auto" w:fill="DEEAF6"/>
          </w:tcPr>
          <w:p w:rsidR="00363F52" w:rsidRPr="00113E08" w:rsidRDefault="0001728F" w:rsidP="003C3A7D">
            <w:pPr>
              <w:pStyle w:val="BodyText3"/>
              <w:spacing w:line="276"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 xml:space="preserve"> </w:t>
            </w:r>
            <w:r w:rsidR="003C3A7D">
              <w:rPr>
                <w:rFonts w:ascii="Times New Roman" w:hAnsi="Times New Roman"/>
                <w:b/>
                <w:color w:val="0D0D0D" w:themeColor="text1" w:themeTint="F2"/>
                <w:sz w:val="24"/>
                <w:szCs w:val="24"/>
              </w:rPr>
              <w:t>57</w:t>
            </w:r>
            <w:r w:rsidR="00363F52" w:rsidRPr="00113E08">
              <w:rPr>
                <w:rFonts w:ascii="Times New Roman" w:hAnsi="Times New Roman"/>
                <w:b/>
                <w:color w:val="0D0D0D" w:themeColor="text1" w:themeTint="F2"/>
                <w:sz w:val="24"/>
                <w:szCs w:val="24"/>
              </w:rPr>
              <w:t xml:space="preserve">   %</w:t>
            </w:r>
          </w:p>
        </w:tc>
      </w:tr>
    </w:tbl>
    <w:p w:rsidR="00363F52" w:rsidRPr="002C3FD3" w:rsidRDefault="00363F52" w:rsidP="00363F52">
      <w:pPr>
        <w:spacing w:line="276" w:lineRule="auto"/>
        <w:jc w:val="both"/>
        <w:rPr>
          <w:color w:val="080808"/>
        </w:rPr>
      </w:pPr>
    </w:p>
    <w:p w:rsidR="00363F52" w:rsidRPr="005D22D9" w:rsidRDefault="00363F52" w:rsidP="00363F52">
      <w:pPr>
        <w:pStyle w:val="BodyText3"/>
        <w:spacing w:line="276" w:lineRule="auto"/>
        <w:ind w:left="1440" w:firstLine="720"/>
        <w:rPr>
          <w:rFonts w:ascii="Times New Roman" w:hAnsi="Times New Roman"/>
          <w:sz w:val="24"/>
          <w:szCs w:val="24"/>
        </w:rPr>
      </w:pPr>
    </w:p>
    <w:p w:rsidR="00186598" w:rsidRPr="00000F0F" w:rsidRDefault="00186598" w:rsidP="00000F0F">
      <w:pPr>
        <w:spacing w:line="276" w:lineRule="auto"/>
        <w:jc w:val="both"/>
      </w:pPr>
    </w:p>
    <w:p w:rsidR="00BB4A9D" w:rsidRPr="00000F0F" w:rsidRDefault="002E6E1D" w:rsidP="00000F0F">
      <w:pPr>
        <w:pStyle w:val="ListParagraph"/>
        <w:numPr>
          <w:ilvl w:val="0"/>
          <w:numId w:val="6"/>
        </w:numPr>
        <w:ind w:left="567" w:hanging="283"/>
        <w:jc w:val="both"/>
        <w:rPr>
          <w:rFonts w:ascii="Times New Roman" w:eastAsia="Batang" w:hAnsi="Times New Roman"/>
          <w:color w:val="0D0D0D" w:themeColor="text1" w:themeTint="F2"/>
          <w:sz w:val="24"/>
          <w:szCs w:val="24"/>
        </w:rPr>
      </w:pPr>
      <w:r w:rsidRPr="00000F0F">
        <w:rPr>
          <w:rFonts w:ascii="Times New Roman" w:eastAsia="Batang" w:hAnsi="Times New Roman"/>
          <w:b/>
          <w:color w:val="0D0D0D" w:themeColor="text1" w:themeTint="F2"/>
          <w:sz w:val="24"/>
          <w:szCs w:val="24"/>
          <w:u w:val="single"/>
        </w:rPr>
        <w:t>Fondi i përgjithshëm i pagave si dhe i sigurimeve shoqërore</w:t>
      </w:r>
      <w:r w:rsidR="009D7775" w:rsidRPr="00000F0F">
        <w:rPr>
          <w:rFonts w:ascii="Times New Roman" w:eastAsia="Batang" w:hAnsi="Times New Roman"/>
          <w:color w:val="0D0D0D" w:themeColor="text1" w:themeTint="F2"/>
          <w:sz w:val="24"/>
          <w:szCs w:val="24"/>
        </w:rPr>
        <w:t xml:space="preserve">. </w:t>
      </w:r>
    </w:p>
    <w:p w:rsidR="00E24831" w:rsidRPr="006A2BAB" w:rsidRDefault="00E24831" w:rsidP="00E24831">
      <w:pPr>
        <w:spacing w:after="40"/>
        <w:jc w:val="both"/>
        <w:rPr>
          <w:color w:val="0D0D0D" w:themeColor="text1" w:themeTint="F2"/>
        </w:rPr>
      </w:pPr>
      <w:r w:rsidRPr="006A2BAB">
        <w:rPr>
          <w:color w:val="0D0D0D" w:themeColor="text1" w:themeTint="F2"/>
        </w:rPr>
        <w:t>Nga fondi i përgjithshëm buxhetor i planifikuar për vitin 202</w:t>
      </w:r>
      <w:r w:rsidR="0096029B" w:rsidRPr="006A2BAB">
        <w:rPr>
          <w:color w:val="0D0D0D" w:themeColor="text1" w:themeTint="F2"/>
        </w:rPr>
        <w:t>3</w:t>
      </w:r>
      <w:r w:rsidRPr="006A2BAB">
        <w:rPr>
          <w:color w:val="0D0D0D" w:themeColor="text1" w:themeTint="F2"/>
        </w:rPr>
        <w:t xml:space="preserve">, për periudhën e raportuar Zyra e Komisionerit ka shpenzuar </w:t>
      </w:r>
      <w:r w:rsidRPr="006A2BAB">
        <w:rPr>
          <w:b/>
          <w:color w:val="0D0D0D" w:themeColor="text1" w:themeTint="F2"/>
        </w:rPr>
        <w:t xml:space="preserve">vlerën buxhetore </w:t>
      </w:r>
      <w:r w:rsidR="0001728F" w:rsidRPr="006A2BAB">
        <w:rPr>
          <w:b/>
          <w:color w:val="0D0D0D" w:themeColor="text1" w:themeTint="F2"/>
        </w:rPr>
        <w:t>49.356</w:t>
      </w:r>
      <w:r w:rsidR="00F11262" w:rsidRPr="006A2BAB">
        <w:rPr>
          <w:b/>
          <w:color w:val="0D0D0D" w:themeColor="text1" w:themeTint="F2"/>
        </w:rPr>
        <w:t xml:space="preserve"> </w:t>
      </w:r>
      <w:r w:rsidRPr="006A2BAB">
        <w:rPr>
          <w:b/>
          <w:color w:val="0D0D0D" w:themeColor="text1" w:themeTint="F2"/>
        </w:rPr>
        <w:t xml:space="preserve"> (në mijë lekë)</w:t>
      </w:r>
      <w:r w:rsidRPr="006A2BAB">
        <w:rPr>
          <w:color w:val="0D0D0D" w:themeColor="text1" w:themeTint="F2"/>
        </w:rPr>
        <w:t xml:space="preserve">. Është realizuar buxheti në tërësi në masën </w:t>
      </w:r>
      <w:r w:rsidR="0001728F" w:rsidRPr="006A2BAB">
        <w:rPr>
          <w:color w:val="0D0D0D" w:themeColor="text1" w:themeTint="F2"/>
        </w:rPr>
        <w:t>54</w:t>
      </w:r>
      <w:r w:rsidRPr="006A2BAB">
        <w:rPr>
          <w:color w:val="0D0D0D" w:themeColor="text1" w:themeTint="F2"/>
        </w:rPr>
        <w:t xml:space="preserve">  %, kundrejt planit vjetor </w:t>
      </w:r>
      <w:r w:rsidR="009150BD" w:rsidRPr="006A2BAB">
        <w:rPr>
          <w:color w:val="0D0D0D" w:themeColor="text1" w:themeTint="F2"/>
        </w:rPr>
        <w:t>ose 90 % e planit 8- mujor</w:t>
      </w:r>
    </w:p>
    <w:p w:rsidR="0001728F" w:rsidRPr="006A2BAB" w:rsidRDefault="0001728F" w:rsidP="0001728F">
      <w:pPr>
        <w:spacing w:line="276" w:lineRule="auto"/>
        <w:jc w:val="both"/>
      </w:pPr>
    </w:p>
    <w:p w:rsidR="0001728F" w:rsidRPr="006A2BAB" w:rsidRDefault="0001728F" w:rsidP="0001728F">
      <w:pPr>
        <w:spacing w:line="276" w:lineRule="auto"/>
        <w:jc w:val="both"/>
        <w:rPr>
          <w:lang w:val="en-US"/>
        </w:rPr>
      </w:pPr>
      <w:r w:rsidRPr="006A2BAB">
        <w:t xml:space="preserve">Për Zyrën e Komisionerit është  akorduar Fondi i Veçantë me vlerë 250 (mijë lekë), i cili referuar akteve administrative është përdorur për mbështetje të punonjësve në raste </w:t>
      </w:r>
      <w:r w:rsidRPr="006A2BAB">
        <w:lastRenderedPageBreak/>
        <w:t xml:space="preserve">fatkeqësie, sëmundje apo ndihma të menjërshme, në masën 100  (mijë lekë) ose  rreth  40 %. </w:t>
      </w:r>
    </w:p>
    <w:p w:rsidR="0001728F" w:rsidRPr="006A2BAB" w:rsidRDefault="0001728F" w:rsidP="0001728F">
      <w:pPr>
        <w:spacing w:line="276" w:lineRule="auto"/>
        <w:jc w:val="both"/>
        <w:rPr>
          <w:rFonts w:eastAsia="Batang"/>
          <w:color w:val="0D0D0D" w:themeColor="text1" w:themeTint="F2"/>
        </w:rPr>
      </w:pPr>
      <w:r w:rsidRPr="006A2BAB">
        <w:rPr>
          <w:rFonts w:eastAsia="Batang"/>
          <w:color w:val="0D0D0D" w:themeColor="text1" w:themeTint="F2"/>
        </w:rPr>
        <w:t xml:space="preserve">Fondi i përgjithshëm i pagave si dhe i sigurimeve shoqërore, është realizuar për numrin faktik të punonjësve në strukturë dhë  jashtë saj ( 45+3 ) </w:t>
      </w:r>
    </w:p>
    <w:p w:rsidR="0001728F" w:rsidRPr="006A2BAB" w:rsidRDefault="0001728F" w:rsidP="0001728F">
      <w:pPr>
        <w:spacing w:line="276" w:lineRule="auto"/>
        <w:jc w:val="both"/>
      </w:pPr>
    </w:p>
    <w:p w:rsidR="0001728F" w:rsidRPr="006A2BAB" w:rsidRDefault="0001728F" w:rsidP="0001728F">
      <w:pPr>
        <w:spacing w:line="276" w:lineRule="auto"/>
        <w:jc w:val="both"/>
      </w:pPr>
      <w:r w:rsidRPr="006A2BAB">
        <w:t xml:space="preserve">Veprimtaria e institucionit ushtrohet në përputhje me strukturën dhe organikën, prej 52 punonjësish, e miratuar me Vendimin e Kuvendit nr. 24/2023  “Për disa shtesa e ndryshime të Vendimit nr. 86/2018 “Për miratimin e strukturës, organikës dhe klasifikimit të pagave të Komisionerit për të Drejtën e Informimit dhe Mbrojtjen e të Dhënave Personale, i ndryshuar”. </w:t>
      </w:r>
    </w:p>
    <w:p w:rsidR="0001728F" w:rsidRPr="006A2BAB" w:rsidRDefault="0001728F" w:rsidP="0001728F">
      <w:pPr>
        <w:spacing w:line="276" w:lineRule="auto"/>
        <w:jc w:val="both"/>
      </w:pPr>
      <w:r w:rsidRPr="006A2BAB">
        <w:t xml:space="preserve">Struktura dhe organigrama e kësaj Zyre,  ka ndryshuar  me Vendimin e Kuvendit të Shqipërisë nr. 24/2023 “Për disa shtesa e ndryshime në </w:t>
      </w:r>
      <w:r w:rsidRPr="006A2BAB">
        <w:rPr>
          <w:color w:val="0D0D0D" w:themeColor="text1" w:themeTint="F2"/>
          <w:lang w:val="it-IT"/>
        </w:rPr>
        <w:t xml:space="preserve">Vendimin  nr. 86/2018 “Për miratimin e strukturës, organikës dhe klasifikimit të pagave të Komisionerit për të Drejtën e Informimit dhe Mbrojtjen e të Dhënave Personale”, i ndryshuar, me një numër të shtuar, i cili ka 60 punonjës.  </w:t>
      </w:r>
      <w:r w:rsidRPr="006A2BAB">
        <w:t xml:space="preserve">Kuadri i modernizuar ligjor për të dy fushat e përgjegjësisë shtoi kompetencat dhe funksionet mbikëqyrëse, çka solli  si domosdoshmëri shtimin e kapaciteteve administrative për përmbushjen e tyre, si në terma sasiorë ashtu edhe cilësorë.   Me Aktin Normativ nr. 12/2022 dhe Ligjin e Buxhetit të vitit 2023, u miratua shtesa prej 8 nëpunësish, e cila  u  reflektua me vendimmarrjen përkatëse të Kuvendit gjatë vitit 2023 edhe përtej këtij numri. Aktualisht sot numri efektiv i punonjësve për të cilën Zyra e Komisionerit do të ndërrmarrë plotësimin e vendeve vakante do të jetë 52 punonjës, ndërsa  pritet reflektimi  i strukturës dhe organikës së shtuar, në zbatim të Vendimit të Kuvendit të cilësuar më lart. </w:t>
      </w:r>
    </w:p>
    <w:p w:rsidR="0001728F" w:rsidRPr="006A2BAB" w:rsidRDefault="0001728F" w:rsidP="0001728F">
      <w:pPr>
        <w:spacing w:line="276" w:lineRule="auto"/>
        <w:jc w:val="both"/>
      </w:pPr>
    </w:p>
    <w:p w:rsidR="0068030E" w:rsidRPr="006A2BAB" w:rsidRDefault="0001728F" w:rsidP="00221860">
      <w:pPr>
        <w:widowControl w:val="0"/>
        <w:spacing w:line="276" w:lineRule="auto"/>
        <w:jc w:val="both"/>
        <w:rPr>
          <w:rFonts w:eastAsia="Calibri"/>
          <w:color w:val="0D0D0D" w:themeColor="text1" w:themeTint="F2"/>
        </w:rPr>
      </w:pPr>
      <w:r w:rsidRPr="006A2BAB">
        <w:t xml:space="preserve">Me Vendimin e Këshillit të Ministrave nr. 325, datë 31.05.2023 “Për miratimin e strukturës së pagave, niveleve të pagave dhe shtesave të tjera mbi pagë të Zëvendësministrit, Funksionarëve të Kabineteve, Prefektit, Nënprefektit, Nëpunësve civilë dhe Nëpunësve në disa institucione të Administratës Publike”, </w:t>
      </w:r>
      <w:r w:rsidRPr="006A2BAB">
        <w:rPr>
          <w:lang w:val="fr-FR"/>
        </w:rPr>
        <w:t xml:space="preserve">V.K.M nr. 326, </w:t>
      </w:r>
      <w:proofErr w:type="spellStart"/>
      <w:r w:rsidRPr="006A2BAB">
        <w:rPr>
          <w:lang w:val="fr-FR"/>
        </w:rPr>
        <w:t>datë</w:t>
      </w:r>
      <w:proofErr w:type="spellEnd"/>
      <w:r w:rsidRPr="006A2BAB">
        <w:rPr>
          <w:lang w:val="fr-FR"/>
        </w:rPr>
        <w:t xml:space="preserve"> 31.05.2023 « </w:t>
      </w:r>
      <w:proofErr w:type="spellStart"/>
      <w:r w:rsidRPr="006A2BAB">
        <w:rPr>
          <w:lang w:val="fr-FR"/>
        </w:rPr>
        <w:t>Për</w:t>
      </w:r>
      <w:proofErr w:type="spellEnd"/>
      <w:r w:rsidRPr="006A2BAB">
        <w:rPr>
          <w:lang w:val="fr-FR"/>
        </w:rPr>
        <w:t xml:space="preserve"> </w:t>
      </w:r>
      <w:proofErr w:type="spellStart"/>
      <w:r w:rsidRPr="006A2BAB">
        <w:rPr>
          <w:lang w:val="fr-FR"/>
        </w:rPr>
        <w:t>pagat</w:t>
      </w:r>
      <w:proofErr w:type="spellEnd"/>
      <w:r w:rsidRPr="006A2BAB">
        <w:rPr>
          <w:lang w:val="fr-FR"/>
        </w:rPr>
        <w:t xml:space="preserve"> e </w:t>
      </w:r>
      <w:proofErr w:type="spellStart"/>
      <w:r w:rsidRPr="006A2BAB">
        <w:rPr>
          <w:lang w:val="fr-FR"/>
        </w:rPr>
        <w:t>punonjësve</w:t>
      </w:r>
      <w:proofErr w:type="spellEnd"/>
      <w:r w:rsidRPr="006A2BAB">
        <w:rPr>
          <w:lang w:val="fr-FR"/>
        </w:rPr>
        <w:t xml:space="preserve"> </w:t>
      </w:r>
      <w:proofErr w:type="spellStart"/>
      <w:r w:rsidRPr="006A2BAB">
        <w:rPr>
          <w:lang w:val="fr-FR"/>
        </w:rPr>
        <w:t>mbështetës</w:t>
      </w:r>
      <w:proofErr w:type="spellEnd"/>
      <w:r w:rsidRPr="006A2BAB">
        <w:rPr>
          <w:lang w:val="fr-FR"/>
        </w:rPr>
        <w:t xml:space="preserve"> </w:t>
      </w:r>
      <w:proofErr w:type="spellStart"/>
      <w:r w:rsidRPr="006A2BAB">
        <w:rPr>
          <w:lang w:val="fr-FR"/>
        </w:rPr>
        <w:t>dhe</w:t>
      </w:r>
      <w:proofErr w:type="spellEnd"/>
      <w:r w:rsidRPr="006A2BAB">
        <w:rPr>
          <w:lang w:val="fr-FR"/>
        </w:rPr>
        <w:t xml:space="preserve"> </w:t>
      </w:r>
      <w:proofErr w:type="spellStart"/>
      <w:r w:rsidRPr="006A2BAB">
        <w:rPr>
          <w:lang w:val="fr-FR"/>
        </w:rPr>
        <w:t>punonjësve</w:t>
      </w:r>
      <w:proofErr w:type="spellEnd"/>
      <w:r w:rsidRPr="006A2BAB">
        <w:rPr>
          <w:lang w:val="fr-FR"/>
        </w:rPr>
        <w:t xml:space="preserve"> </w:t>
      </w:r>
      <w:proofErr w:type="spellStart"/>
      <w:r w:rsidRPr="006A2BAB">
        <w:rPr>
          <w:lang w:val="fr-FR"/>
        </w:rPr>
        <w:t>të</w:t>
      </w:r>
      <w:proofErr w:type="spellEnd"/>
      <w:r w:rsidRPr="006A2BAB">
        <w:rPr>
          <w:lang w:val="fr-FR"/>
        </w:rPr>
        <w:t xml:space="preserve"> </w:t>
      </w:r>
      <w:proofErr w:type="spellStart"/>
      <w:r w:rsidRPr="006A2BAB">
        <w:rPr>
          <w:lang w:val="fr-FR"/>
        </w:rPr>
        <w:t>tjerë</w:t>
      </w:r>
      <w:proofErr w:type="spellEnd"/>
      <w:r w:rsidRPr="006A2BAB">
        <w:rPr>
          <w:lang w:val="fr-FR"/>
        </w:rPr>
        <w:t xml:space="preserve"> </w:t>
      </w:r>
      <w:proofErr w:type="spellStart"/>
      <w:r w:rsidRPr="006A2BAB">
        <w:rPr>
          <w:lang w:val="fr-FR"/>
        </w:rPr>
        <w:t>të</w:t>
      </w:r>
      <w:proofErr w:type="spellEnd"/>
      <w:r w:rsidRPr="006A2BAB">
        <w:rPr>
          <w:lang w:val="fr-FR"/>
        </w:rPr>
        <w:t xml:space="preserve"> </w:t>
      </w:r>
      <w:proofErr w:type="spellStart"/>
      <w:r w:rsidRPr="006A2BAB">
        <w:rPr>
          <w:lang w:val="fr-FR"/>
        </w:rPr>
        <w:t>specialiteteve</w:t>
      </w:r>
      <w:proofErr w:type="spellEnd"/>
      <w:r w:rsidRPr="006A2BAB">
        <w:rPr>
          <w:lang w:val="fr-FR"/>
        </w:rPr>
        <w:t xml:space="preserve"> </w:t>
      </w:r>
      <w:proofErr w:type="spellStart"/>
      <w:r w:rsidRPr="006A2BAB">
        <w:rPr>
          <w:lang w:val="fr-FR"/>
        </w:rPr>
        <w:t>të</w:t>
      </w:r>
      <w:proofErr w:type="spellEnd"/>
      <w:r w:rsidRPr="006A2BAB">
        <w:rPr>
          <w:lang w:val="fr-FR"/>
        </w:rPr>
        <w:t xml:space="preserve"> </w:t>
      </w:r>
      <w:proofErr w:type="spellStart"/>
      <w:r w:rsidRPr="006A2BAB">
        <w:rPr>
          <w:lang w:val="fr-FR"/>
        </w:rPr>
        <w:t>ndryshme</w:t>
      </w:r>
      <w:proofErr w:type="spellEnd"/>
      <w:r w:rsidRPr="006A2BAB">
        <w:rPr>
          <w:lang w:val="fr-FR"/>
        </w:rPr>
        <w:t xml:space="preserve"> </w:t>
      </w:r>
      <w:proofErr w:type="spellStart"/>
      <w:r w:rsidRPr="006A2BAB">
        <w:rPr>
          <w:lang w:val="fr-FR"/>
        </w:rPr>
        <w:t>në</w:t>
      </w:r>
      <w:proofErr w:type="spellEnd"/>
      <w:r w:rsidRPr="006A2BAB">
        <w:rPr>
          <w:lang w:val="fr-FR"/>
        </w:rPr>
        <w:t xml:space="preserve"> </w:t>
      </w:r>
      <w:proofErr w:type="spellStart"/>
      <w:r w:rsidRPr="006A2BAB">
        <w:rPr>
          <w:lang w:val="fr-FR"/>
        </w:rPr>
        <w:t>disa</w:t>
      </w:r>
      <w:proofErr w:type="spellEnd"/>
      <w:r w:rsidRPr="006A2BAB">
        <w:rPr>
          <w:lang w:val="fr-FR"/>
        </w:rPr>
        <w:t xml:space="preserve"> </w:t>
      </w:r>
      <w:proofErr w:type="spellStart"/>
      <w:r w:rsidRPr="006A2BAB">
        <w:rPr>
          <w:lang w:val="fr-FR"/>
        </w:rPr>
        <w:t>institucione</w:t>
      </w:r>
      <w:proofErr w:type="spellEnd"/>
      <w:r w:rsidRPr="006A2BAB">
        <w:rPr>
          <w:lang w:val="fr-FR"/>
        </w:rPr>
        <w:t xml:space="preserve"> </w:t>
      </w:r>
      <w:proofErr w:type="spellStart"/>
      <w:r w:rsidRPr="006A2BAB">
        <w:rPr>
          <w:lang w:val="fr-FR"/>
        </w:rPr>
        <w:t>të</w:t>
      </w:r>
      <w:proofErr w:type="spellEnd"/>
      <w:r w:rsidRPr="006A2BAB">
        <w:rPr>
          <w:lang w:val="fr-FR"/>
        </w:rPr>
        <w:t xml:space="preserve"> </w:t>
      </w:r>
      <w:proofErr w:type="spellStart"/>
      <w:r w:rsidRPr="006A2BAB">
        <w:rPr>
          <w:lang w:val="fr-FR"/>
        </w:rPr>
        <w:t>administratës</w:t>
      </w:r>
      <w:proofErr w:type="spellEnd"/>
      <w:r w:rsidRPr="006A2BAB">
        <w:rPr>
          <w:lang w:val="fr-FR"/>
        </w:rPr>
        <w:t xml:space="preserve"> </w:t>
      </w:r>
      <w:proofErr w:type="spellStart"/>
      <w:r w:rsidRPr="006A2BAB">
        <w:rPr>
          <w:lang w:val="fr-FR"/>
        </w:rPr>
        <w:t>publike</w:t>
      </w:r>
      <w:proofErr w:type="spellEnd"/>
      <w:r w:rsidRPr="006A2BAB">
        <w:rPr>
          <w:lang w:val="fr-FR"/>
        </w:rPr>
        <w:t> </w:t>
      </w:r>
      <w:proofErr w:type="gramStart"/>
      <w:r w:rsidRPr="006A2BAB">
        <w:t>”</w:t>
      </w:r>
      <w:r w:rsidRPr="006A2BAB">
        <w:rPr>
          <w:lang w:val="fr-FR"/>
        </w:rPr>
        <w:t> ,</w:t>
      </w:r>
      <w:proofErr w:type="gramEnd"/>
      <w:r w:rsidRPr="006A2BAB">
        <w:rPr>
          <w:lang w:val="fr-FR"/>
        </w:rPr>
        <w:t xml:space="preserve"> .</w:t>
      </w:r>
      <w:r w:rsidRPr="006A2BAB">
        <w:t xml:space="preserve">si dhe Udhëzimit të Ministrisë së Financave dhe Ekonomisë nr. 16, datë 16.06.2023 “Për mënyrën e zbatimit të vendimit të këshillit të Ministrave nr. 325, datë 31.05.2023”, Zyra e Komisionerit ndërrmorri procedurën e llogaritjes së pagave për muajin Prill dhe Maj , duke rakorduar diferencat për tu paguar sipas vendimeve sa më sipër. Janë egzekutuar pagesat pasi kishte disponueshmëri të fondeve në artikullin Paga e sigurime ( 600-601) nga </w:t>
      </w:r>
      <w:r w:rsidRPr="006A2BAB">
        <w:rPr>
          <w:rFonts w:eastAsia="Batang"/>
          <w:lang w:val="sv-SE"/>
        </w:rPr>
        <w:t xml:space="preserve">mosrealizimet    si pasojë e </w:t>
      </w:r>
      <w:r w:rsidRPr="006A2BAB">
        <w:rPr>
          <w:rFonts w:eastAsia="Calibri"/>
          <w:color w:val="0D0D0D" w:themeColor="text1" w:themeTint="F2"/>
        </w:rPr>
        <w:t xml:space="preserve">kufizimit të procedurave të rekrutimit,    gjatë periudhës  zgjedhore, për </w:t>
      </w:r>
      <w:r w:rsidRPr="006A2BAB">
        <w:rPr>
          <w:rFonts w:eastAsia="Batang"/>
          <w:lang w:val="sv-SE"/>
        </w:rPr>
        <w:t xml:space="preserve"> vendet  vakante të krijuara rishtazi apo të mbartura nga vitit 2022. Fondi i pagave si dhe ai i sigurimeve është akorduar në buxhetin e Zyrës së Komisionerit nga fondi i kontigjencës me shkresën nr. 11802/1, datë 11.07.2023 prot me tonën nr. 1182/1, datë</w:t>
      </w:r>
      <w:r w:rsidR="00560291" w:rsidRPr="006A2BAB">
        <w:rPr>
          <w:rFonts w:eastAsia="Batang"/>
          <w:lang w:val="sv-SE"/>
        </w:rPr>
        <w:t xml:space="preserve"> 14.07.2023, në vlerën 18.500 (në mijë</w:t>
      </w:r>
      <w:r w:rsidRPr="006A2BAB">
        <w:rPr>
          <w:rFonts w:eastAsia="Batang"/>
          <w:lang w:val="sv-SE"/>
        </w:rPr>
        <w:t>) lekë, ndërsa është dërguar edhe miratimi i limitit mujor. N</w:t>
      </w:r>
      <w:r w:rsidR="00221860" w:rsidRPr="006A2BAB">
        <w:rPr>
          <w:rFonts w:eastAsia="Batang"/>
          <w:lang w:val="sv-SE"/>
        </w:rPr>
        <w:t xml:space="preserve">ë </w:t>
      </w:r>
      <w:r w:rsidRPr="006A2BAB">
        <w:rPr>
          <w:rFonts w:eastAsia="Batang"/>
          <w:lang w:val="sv-SE"/>
        </w:rPr>
        <w:t>muajin shtator kanë nisur procedurat e rekrutimit për vendet vakante</w:t>
      </w:r>
      <w:r w:rsidR="00221860" w:rsidRPr="006A2BAB">
        <w:rPr>
          <w:rFonts w:eastAsia="Batang"/>
          <w:lang w:val="sv-SE"/>
        </w:rPr>
        <w:t xml:space="preserve">, </w:t>
      </w:r>
      <w:r w:rsidRPr="006A2BAB">
        <w:rPr>
          <w:rFonts w:eastAsia="Batang"/>
          <w:lang w:val="sv-SE"/>
        </w:rPr>
        <w:t xml:space="preserve"> t</w:t>
      </w:r>
      <w:r w:rsidR="00221860" w:rsidRPr="006A2BAB">
        <w:rPr>
          <w:rFonts w:eastAsia="Batang"/>
          <w:lang w:val="sv-SE"/>
        </w:rPr>
        <w:t>ë</w:t>
      </w:r>
      <w:r w:rsidRPr="006A2BAB">
        <w:rPr>
          <w:rFonts w:eastAsia="Batang"/>
          <w:lang w:val="sv-SE"/>
        </w:rPr>
        <w:t xml:space="preserve"> cilat kan</w:t>
      </w:r>
      <w:r w:rsidR="00221860" w:rsidRPr="006A2BAB">
        <w:rPr>
          <w:rFonts w:eastAsia="Batang"/>
          <w:lang w:val="sv-SE"/>
        </w:rPr>
        <w:t>ë</w:t>
      </w:r>
      <w:r w:rsidRPr="006A2BAB">
        <w:rPr>
          <w:rFonts w:eastAsia="Batang"/>
          <w:lang w:val="sv-SE"/>
        </w:rPr>
        <w:t xml:space="preserve"> pritshm</w:t>
      </w:r>
      <w:r w:rsidR="00221860" w:rsidRPr="006A2BAB">
        <w:rPr>
          <w:rFonts w:eastAsia="Batang"/>
          <w:lang w:val="sv-SE"/>
        </w:rPr>
        <w:t>ë</w:t>
      </w:r>
      <w:r w:rsidRPr="006A2BAB">
        <w:rPr>
          <w:rFonts w:eastAsia="Batang"/>
          <w:lang w:val="sv-SE"/>
        </w:rPr>
        <w:t>ri pozitive nd</w:t>
      </w:r>
      <w:r w:rsidR="00221860" w:rsidRPr="006A2BAB">
        <w:rPr>
          <w:rFonts w:eastAsia="Batang"/>
          <w:lang w:val="sv-SE"/>
        </w:rPr>
        <w:t>ë</w:t>
      </w:r>
      <w:r w:rsidRPr="006A2BAB">
        <w:rPr>
          <w:rFonts w:eastAsia="Batang"/>
          <w:lang w:val="sv-SE"/>
        </w:rPr>
        <w:t>rsa ka rikthime me prezenc</w:t>
      </w:r>
      <w:r w:rsidR="00221860" w:rsidRPr="006A2BAB">
        <w:rPr>
          <w:rFonts w:eastAsia="Batang"/>
          <w:lang w:val="sv-SE"/>
        </w:rPr>
        <w:t>ë</w:t>
      </w:r>
      <w:r w:rsidRPr="006A2BAB">
        <w:rPr>
          <w:rFonts w:eastAsia="Batang"/>
          <w:lang w:val="sv-SE"/>
        </w:rPr>
        <w:t xml:space="preserve"> n</w:t>
      </w:r>
      <w:r w:rsidR="00221860" w:rsidRPr="006A2BAB">
        <w:rPr>
          <w:rFonts w:eastAsia="Batang"/>
          <w:lang w:val="sv-SE"/>
        </w:rPr>
        <w:t>ë</w:t>
      </w:r>
      <w:r w:rsidRPr="006A2BAB">
        <w:rPr>
          <w:rFonts w:eastAsia="Batang"/>
          <w:lang w:val="sv-SE"/>
        </w:rPr>
        <w:t xml:space="preserve"> pun</w:t>
      </w:r>
      <w:r w:rsidR="00221860" w:rsidRPr="006A2BAB">
        <w:rPr>
          <w:rFonts w:eastAsia="Batang"/>
          <w:lang w:val="sv-SE"/>
        </w:rPr>
        <w:t xml:space="preserve">ë (përfundim raporti leje lindje) </w:t>
      </w:r>
      <w:r w:rsidRPr="006A2BAB">
        <w:rPr>
          <w:rFonts w:eastAsia="Batang"/>
          <w:lang w:val="sv-SE"/>
        </w:rPr>
        <w:t xml:space="preserve"> </w:t>
      </w:r>
    </w:p>
    <w:p w:rsidR="00CC728C" w:rsidRPr="006A2BAB" w:rsidRDefault="00CC728C" w:rsidP="00000F0F">
      <w:pPr>
        <w:spacing w:line="276" w:lineRule="auto"/>
        <w:ind w:left="1080"/>
        <w:jc w:val="both"/>
        <w:rPr>
          <w:color w:val="0D0D0D" w:themeColor="text1" w:themeTint="F2"/>
        </w:rPr>
      </w:pPr>
    </w:p>
    <w:p w:rsidR="00221860" w:rsidRPr="006A2BAB" w:rsidRDefault="00221860" w:rsidP="00221860">
      <w:pPr>
        <w:pStyle w:val="ListParagraph"/>
        <w:numPr>
          <w:ilvl w:val="0"/>
          <w:numId w:val="6"/>
        </w:numPr>
        <w:ind w:left="720"/>
        <w:jc w:val="both"/>
        <w:rPr>
          <w:rFonts w:ascii="Times New Roman" w:hAnsi="Times New Roman"/>
          <w:b/>
          <w:bCs/>
          <w:color w:val="0D0D0D" w:themeColor="text1" w:themeTint="F2"/>
          <w:sz w:val="24"/>
          <w:szCs w:val="24"/>
        </w:rPr>
      </w:pPr>
      <w:r w:rsidRPr="006A2BAB">
        <w:rPr>
          <w:rFonts w:ascii="Times New Roman" w:eastAsia="Batang" w:hAnsi="Times New Roman"/>
          <w:b/>
          <w:color w:val="0D0D0D" w:themeColor="text1" w:themeTint="F2"/>
          <w:sz w:val="24"/>
          <w:szCs w:val="24"/>
          <w:u w:val="single"/>
          <w:lang w:val="sv-SE"/>
        </w:rPr>
        <w:t xml:space="preserve">Fondi për </w:t>
      </w:r>
      <w:proofErr w:type="spellStart"/>
      <w:r w:rsidRPr="006A2BAB">
        <w:rPr>
          <w:rFonts w:ascii="Times New Roman" w:hAnsi="Times New Roman"/>
          <w:b/>
          <w:bCs/>
          <w:color w:val="0D0D0D" w:themeColor="text1" w:themeTint="F2"/>
          <w:sz w:val="24"/>
          <w:szCs w:val="24"/>
          <w:u w:val="single"/>
          <w:lang w:val="es-CL"/>
        </w:rPr>
        <w:t>Shpenzime</w:t>
      </w:r>
      <w:proofErr w:type="spellEnd"/>
      <w:r w:rsidRPr="006A2BAB">
        <w:rPr>
          <w:rFonts w:ascii="Times New Roman" w:hAnsi="Times New Roman"/>
          <w:b/>
          <w:bCs/>
          <w:color w:val="0D0D0D" w:themeColor="text1" w:themeTint="F2"/>
          <w:sz w:val="24"/>
          <w:szCs w:val="24"/>
          <w:u w:val="single"/>
          <w:lang w:val="es-CL"/>
        </w:rPr>
        <w:t xml:space="preserve"> </w:t>
      </w:r>
      <w:proofErr w:type="spellStart"/>
      <w:r w:rsidRPr="006A2BAB">
        <w:rPr>
          <w:rFonts w:ascii="Times New Roman" w:hAnsi="Times New Roman"/>
          <w:b/>
          <w:bCs/>
          <w:color w:val="0D0D0D" w:themeColor="text1" w:themeTint="F2"/>
          <w:sz w:val="24"/>
          <w:szCs w:val="24"/>
          <w:u w:val="single"/>
          <w:lang w:val="es-CL"/>
        </w:rPr>
        <w:t>Korente</w:t>
      </w:r>
      <w:proofErr w:type="spellEnd"/>
      <w:r w:rsidRPr="006A2BAB">
        <w:rPr>
          <w:rFonts w:ascii="Times New Roman" w:hAnsi="Times New Roman"/>
          <w:b/>
          <w:bCs/>
          <w:color w:val="0D0D0D" w:themeColor="text1" w:themeTint="F2"/>
          <w:sz w:val="24"/>
          <w:szCs w:val="24"/>
          <w:u w:val="single"/>
          <w:lang w:val="es-CL"/>
        </w:rPr>
        <w:t xml:space="preserve"> </w:t>
      </w:r>
      <w:proofErr w:type="spellStart"/>
      <w:r w:rsidRPr="006A2BAB">
        <w:rPr>
          <w:rFonts w:ascii="Times New Roman" w:hAnsi="Times New Roman"/>
          <w:b/>
          <w:bCs/>
          <w:color w:val="0D0D0D" w:themeColor="text1" w:themeTint="F2"/>
          <w:sz w:val="24"/>
          <w:szCs w:val="24"/>
          <w:u w:val="single"/>
          <w:lang w:val="es-CL"/>
        </w:rPr>
        <w:t>të</w:t>
      </w:r>
      <w:proofErr w:type="spellEnd"/>
      <w:r w:rsidRPr="006A2BAB">
        <w:rPr>
          <w:rFonts w:ascii="Times New Roman" w:hAnsi="Times New Roman"/>
          <w:b/>
          <w:bCs/>
          <w:color w:val="0D0D0D" w:themeColor="text1" w:themeTint="F2"/>
          <w:sz w:val="24"/>
          <w:szCs w:val="24"/>
          <w:u w:val="single"/>
          <w:lang w:val="es-CL"/>
        </w:rPr>
        <w:t xml:space="preserve"> </w:t>
      </w:r>
      <w:proofErr w:type="spellStart"/>
      <w:r w:rsidRPr="006A2BAB">
        <w:rPr>
          <w:rFonts w:ascii="Times New Roman" w:hAnsi="Times New Roman"/>
          <w:b/>
          <w:bCs/>
          <w:color w:val="0D0D0D" w:themeColor="text1" w:themeTint="F2"/>
          <w:sz w:val="24"/>
          <w:szCs w:val="24"/>
          <w:u w:val="single"/>
          <w:lang w:val="es-CL"/>
        </w:rPr>
        <w:t>tjera</w:t>
      </w:r>
      <w:proofErr w:type="spellEnd"/>
      <w:r w:rsidRPr="006A2BAB">
        <w:rPr>
          <w:rFonts w:ascii="Times New Roman" w:eastAsia="Batang" w:hAnsi="Times New Roman"/>
          <w:b/>
          <w:color w:val="0D0D0D" w:themeColor="text1" w:themeTint="F2"/>
          <w:sz w:val="24"/>
          <w:szCs w:val="24"/>
          <w:u w:val="single"/>
          <w:lang w:val="sv-SE"/>
        </w:rPr>
        <w:t xml:space="preserve"> (602-606)</w:t>
      </w:r>
      <w:r w:rsidRPr="006A2BAB">
        <w:rPr>
          <w:rFonts w:ascii="Times New Roman" w:hAnsi="Times New Roman"/>
          <w:b/>
          <w:bCs/>
          <w:color w:val="0D0D0D" w:themeColor="text1" w:themeTint="F2"/>
          <w:sz w:val="24"/>
          <w:szCs w:val="24"/>
          <w:u w:val="single"/>
          <w:lang w:val="es-CL"/>
        </w:rPr>
        <w:t xml:space="preserve">, </w:t>
      </w:r>
      <w:proofErr w:type="spellStart"/>
      <w:r w:rsidRPr="006A2BAB">
        <w:rPr>
          <w:rFonts w:ascii="Times New Roman" w:hAnsi="Times New Roman"/>
          <w:bCs/>
          <w:color w:val="0D0D0D" w:themeColor="text1" w:themeTint="F2"/>
          <w:sz w:val="24"/>
          <w:szCs w:val="24"/>
          <w:lang w:val="es-CL"/>
        </w:rPr>
        <w:t>për</w:t>
      </w:r>
      <w:proofErr w:type="spellEnd"/>
      <w:r w:rsidRPr="006A2BAB">
        <w:rPr>
          <w:rFonts w:ascii="Times New Roman" w:hAnsi="Times New Roman"/>
          <w:bCs/>
          <w:color w:val="0D0D0D" w:themeColor="text1" w:themeTint="F2"/>
          <w:sz w:val="24"/>
          <w:szCs w:val="24"/>
          <w:lang w:val="es-CL"/>
        </w:rPr>
        <w:t xml:space="preserve"> </w:t>
      </w:r>
      <w:r w:rsidRPr="006A2BAB">
        <w:rPr>
          <w:rFonts w:ascii="Times New Roman" w:eastAsia="Batang" w:hAnsi="Times New Roman"/>
          <w:color w:val="0D0D0D" w:themeColor="text1" w:themeTint="F2"/>
          <w:sz w:val="24"/>
          <w:szCs w:val="24"/>
          <w:lang w:val="sv-SE"/>
        </w:rPr>
        <w:t xml:space="preserve">periudhën Janar-Gusht 2023, është realizuar </w:t>
      </w:r>
      <w:proofErr w:type="spellStart"/>
      <w:r w:rsidRPr="006A2BAB">
        <w:rPr>
          <w:rFonts w:ascii="Times New Roman" w:hAnsi="Times New Roman"/>
          <w:bCs/>
          <w:color w:val="0D0D0D" w:themeColor="text1" w:themeTint="F2"/>
          <w:sz w:val="24"/>
          <w:szCs w:val="24"/>
          <w:lang w:val="es-CL"/>
        </w:rPr>
        <w:t>në</w:t>
      </w:r>
      <w:proofErr w:type="spellEnd"/>
      <w:r w:rsidRPr="006A2BAB">
        <w:rPr>
          <w:rFonts w:ascii="Times New Roman" w:hAnsi="Times New Roman"/>
          <w:bCs/>
          <w:color w:val="0D0D0D" w:themeColor="text1" w:themeTint="F2"/>
          <w:sz w:val="24"/>
          <w:szCs w:val="24"/>
          <w:lang w:val="es-CL"/>
        </w:rPr>
        <w:t xml:space="preserve"> </w:t>
      </w:r>
      <w:proofErr w:type="spellStart"/>
      <w:r w:rsidRPr="006A2BAB">
        <w:rPr>
          <w:rFonts w:ascii="Times New Roman" w:hAnsi="Times New Roman"/>
          <w:bCs/>
          <w:color w:val="0D0D0D" w:themeColor="text1" w:themeTint="F2"/>
          <w:sz w:val="24"/>
          <w:szCs w:val="24"/>
          <w:lang w:val="es-CL"/>
        </w:rPr>
        <w:t>vlerën</w:t>
      </w:r>
      <w:proofErr w:type="spellEnd"/>
      <w:r w:rsidRPr="006A2BAB">
        <w:rPr>
          <w:rFonts w:ascii="Times New Roman" w:hAnsi="Times New Roman"/>
          <w:bCs/>
          <w:color w:val="0D0D0D" w:themeColor="text1" w:themeTint="F2"/>
          <w:sz w:val="24"/>
          <w:szCs w:val="24"/>
          <w:lang w:val="es-CL"/>
        </w:rPr>
        <w:t xml:space="preserve"> </w:t>
      </w:r>
      <w:r w:rsidRPr="006A2BAB">
        <w:rPr>
          <w:rFonts w:ascii="Times New Roman" w:hAnsi="Times New Roman"/>
          <w:b/>
          <w:bCs/>
          <w:color w:val="0D0D0D" w:themeColor="text1" w:themeTint="F2"/>
          <w:sz w:val="24"/>
          <w:szCs w:val="24"/>
          <w:lang w:val="es-CL"/>
        </w:rPr>
        <w:t xml:space="preserve">10.285   </w:t>
      </w:r>
      <w:r w:rsidRPr="006A2BAB">
        <w:rPr>
          <w:rFonts w:ascii="Times New Roman" w:eastAsia="Batang" w:hAnsi="Times New Roman"/>
          <w:b/>
          <w:color w:val="0D0D0D" w:themeColor="text1" w:themeTint="F2"/>
          <w:sz w:val="24"/>
          <w:szCs w:val="24"/>
        </w:rPr>
        <w:t>(në mijë) lekë</w:t>
      </w:r>
      <w:r w:rsidRPr="006A2BAB">
        <w:rPr>
          <w:rFonts w:ascii="Times New Roman" w:eastAsia="Batang" w:hAnsi="Times New Roman"/>
          <w:color w:val="0D0D0D" w:themeColor="text1" w:themeTint="F2"/>
          <w:sz w:val="24"/>
          <w:szCs w:val="24"/>
          <w:lang w:val="sv-SE"/>
        </w:rPr>
        <w:t xml:space="preserve">, </w:t>
      </w:r>
      <w:r w:rsidRPr="006A2BAB">
        <w:rPr>
          <w:rFonts w:ascii="Times New Roman" w:eastAsia="Batang" w:hAnsi="Times New Roman"/>
          <w:color w:val="0D0D0D" w:themeColor="text1" w:themeTint="F2"/>
          <w:sz w:val="24"/>
          <w:szCs w:val="24"/>
        </w:rPr>
        <w:t>ose rreth 58</w:t>
      </w:r>
      <w:r w:rsidR="003C3A7D" w:rsidRPr="006A2BAB">
        <w:rPr>
          <w:rFonts w:ascii="Times New Roman" w:eastAsia="Batang" w:hAnsi="Times New Roman"/>
          <w:color w:val="0D0D0D" w:themeColor="text1" w:themeTint="F2"/>
          <w:sz w:val="24"/>
          <w:szCs w:val="24"/>
        </w:rPr>
        <w:t>.5</w:t>
      </w:r>
      <w:r w:rsidRPr="006A2BAB">
        <w:rPr>
          <w:rFonts w:ascii="Times New Roman" w:eastAsia="Batang" w:hAnsi="Times New Roman"/>
          <w:color w:val="0D0D0D" w:themeColor="text1" w:themeTint="F2"/>
          <w:sz w:val="24"/>
          <w:szCs w:val="24"/>
        </w:rPr>
        <w:t xml:space="preserve">  % të f</w:t>
      </w:r>
      <w:r w:rsidR="009150BD" w:rsidRPr="006A2BAB">
        <w:rPr>
          <w:rFonts w:ascii="Times New Roman" w:eastAsia="Batang" w:hAnsi="Times New Roman"/>
          <w:color w:val="0D0D0D" w:themeColor="text1" w:themeTint="F2"/>
          <w:sz w:val="24"/>
          <w:szCs w:val="24"/>
        </w:rPr>
        <w:t xml:space="preserve">ondit </w:t>
      </w:r>
      <w:r w:rsidR="009150BD" w:rsidRPr="006A2BAB">
        <w:rPr>
          <w:rFonts w:ascii="Times New Roman" w:eastAsia="Batang" w:hAnsi="Times New Roman"/>
          <w:color w:val="0D0D0D" w:themeColor="text1" w:themeTint="F2"/>
          <w:sz w:val="24"/>
          <w:szCs w:val="24"/>
        </w:rPr>
        <w:lastRenderedPageBreak/>
        <w:t xml:space="preserve">të planifikuar vjetor,  </w:t>
      </w:r>
      <w:r w:rsidRPr="006A2BAB">
        <w:rPr>
          <w:rFonts w:ascii="Times New Roman" w:eastAsia="Batang" w:hAnsi="Times New Roman"/>
          <w:color w:val="0D0D0D" w:themeColor="text1" w:themeTint="F2"/>
          <w:sz w:val="24"/>
          <w:szCs w:val="24"/>
        </w:rPr>
        <w:t>të këtij shpenzimi (602-606)</w:t>
      </w:r>
      <w:r w:rsidR="009150BD" w:rsidRPr="006A2BAB">
        <w:rPr>
          <w:rFonts w:ascii="Times New Roman" w:eastAsia="Batang" w:hAnsi="Times New Roman"/>
          <w:color w:val="0D0D0D" w:themeColor="text1" w:themeTint="F2"/>
          <w:sz w:val="24"/>
          <w:szCs w:val="24"/>
        </w:rPr>
        <w:t xml:space="preserve"> ose rreth 73 % e planit  8- mujor. </w:t>
      </w:r>
      <w:r w:rsidRPr="006A2BAB">
        <w:rPr>
          <w:rFonts w:ascii="Times New Roman" w:eastAsia="Batang" w:hAnsi="Times New Roman"/>
          <w:color w:val="0D0D0D" w:themeColor="text1" w:themeTint="F2"/>
          <w:sz w:val="24"/>
          <w:szCs w:val="24"/>
        </w:rPr>
        <w:t xml:space="preserve"> </w:t>
      </w:r>
      <w:r w:rsidRPr="006A2BAB">
        <w:rPr>
          <w:rFonts w:ascii="Times New Roman" w:hAnsi="Times New Roman"/>
          <w:color w:val="0D0D0D" w:themeColor="text1" w:themeTint="F2"/>
          <w:sz w:val="24"/>
          <w:szCs w:val="24"/>
          <w:lang w:val="it-IT"/>
        </w:rPr>
        <w:t>Ky fond është realizuar për:</w:t>
      </w:r>
    </w:p>
    <w:p w:rsidR="00221860" w:rsidRPr="006A2BAB" w:rsidRDefault="00221860" w:rsidP="00221860">
      <w:pPr>
        <w:pStyle w:val="ListParagraph"/>
        <w:widowControl w:val="0"/>
        <w:spacing w:after="0"/>
        <w:ind w:left="426"/>
        <w:contextualSpacing w:val="0"/>
        <w:jc w:val="both"/>
        <w:rPr>
          <w:rFonts w:ascii="Times New Roman" w:hAnsi="Times New Roman"/>
          <w:b/>
          <w:bCs/>
          <w:color w:val="0D0D0D" w:themeColor="text1" w:themeTint="F2"/>
          <w:sz w:val="24"/>
          <w:szCs w:val="24"/>
        </w:rPr>
      </w:pPr>
    </w:p>
    <w:p w:rsidR="00221860" w:rsidRPr="006A2BAB" w:rsidRDefault="00221860" w:rsidP="00221860">
      <w:pPr>
        <w:numPr>
          <w:ilvl w:val="1"/>
          <w:numId w:val="2"/>
        </w:numPr>
        <w:tabs>
          <w:tab w:val="clear" w:pos="786"/>
          <w:tab w:val="num" w:pos="1440"/>
        </w:tabs>
        <w:spacing w:line="276" w:lineRule="auto"/>
        <w:ind w:left="1440"/>
        <w:jc w:val="both"/>
        <w:rPr>
          <w:color w:val="0D0D0D" w:themeColor="text1" w:themeTint="F2"/>
          <w:lang w:val="it-IT"/>
        </w:rPr>
      </w:pPr>
      <w:r w:rsidRPr="006A2BAB">
        <w:rPr>
          <w:color w:val="0D0D0D" w:themeColor="text1" w:themeTint="F2"/>
          <w:lang w:val="it-IT"/>
        </w:rPr>
        <w:t xml:space="preserve">Shlyerjen e detyrimeve </w:t>
      </w:r>
      <w:r w:rsidRPr="006A2BAB">
        <w:rPr>
          <w:rFonts w:eastAsia="Batang"/>
          <w:color w:val="0D0D0D" w:themeColor="text1" w:themeTint="F2"/>
          <w:lang w:val="it-IT"/>
        </w:rPr>
        <w:t>ndaj shtetit, si detyrime energji elektrike, ujë, shërbime bankare, postare e telefonike.</w:t>
      </w:r>
    </w:p>
    <w:p w:rsidR="00221860" w:rsidRPr="006A2BAB" w:rsidRDefault="00221860" w:rsidP="00221860">
      <w:pPr>
        <w:numPr>
          <w:ilvl w:val="1"/>
          <w:numId w:val="2"/>
        </w:numPr>
        <w:tabs>
          <w:tab w:val="clear" w:pos="786"/>
          <w:tab w:val="num" w:pos="1440"/>
        </w:tabs>
        <w:spacing w:line="276" w:lineRule="auto"/>
        <w:ind w:left="1440"/>
        <w:jc w:val="both"/>
        <w:rPr>
          <w:color w:val="0D0D0D" w:themeColor="text1" w:themeTint="F2"/>
        </w:rPr>
      </w:pPr>
      <w:r w:rsidRPr="006A2BAB">
        <w:rPr>
          <w:rFonts w:eastAsia="Batang"/>
          <w:color w:val="0D0D0D" w:themeColor="text1" w:themeTint="F2"/>
        </w:rPr>
        <w:t xml:space="preserve">Shpenzime në funksion të realizimit të qëllimit </w:t>
      </w:r>
      <w:r w:rsidRPr="006A2BAB">
        <w:rPr>
          <w:color w:val="0D0D0D" w:themeColor="text1" w:themeTint="F2"/>
        </w:rPr>
        <w:t>të Komisionerit, ku për platformat e instaluara janë ndërmarrë procedurat e mirëmbajtjes vjetore të tyre</w:t>
      </w:r>
    </w:p>
    <w:p w:rsidR="00221860" w:rsidRPr="006A2BAB" w:rsidRDefault="00221860" w:rsidP="00221860">
      <w:pPr>
        <w:numPr>
          <w:ilvl w:val="1"/>
          <w:numId w:val="2"/>
        </w:numPr>
        <w:tabs>
          <w:tab w:val="clear" w:pos="786"/>
          <w:tab w:val="num" w:pos="1440"/>
        </w:tabs>
        <w:spacing w:line="276" w:lineRule="auto"/>
        <w:ind w:left="1440"/>
        <w:jc w:val="both"/>
        <w:rPr>
          <w:color w:val="0D0D0D" w:themeColor="text1" w:themeTint="F2"/>
        </w:rPr>
      </w:pPr>
      <w:r w:rsidRPr="006A2BAB">
        <w:rPr>
          <w:rFonts w:eastAsia="Batang"/>
          <w:color w:val="0D0D0D" w:themeColor="text1" w:themeTint="F2"/>
        </w:rPr>
        <w:t>Shpenzime për sigurimin e godinave e të mjeteve të transportit si dhe shërbime të deznfektimit në situatën covid-19</w:t>
      </w:r>
    </w:p>
    <w:p w:rsidR="00221860" w:rsidRPr="006A2BAB" w:rsidRDefault="00221860" w:rsidP="00221860">
      <w:pPr>
        <w:numPr>
          <w:ilvl w:val="1"/>
          <w:numId w:val="2"/>
        </w:numPr>
        <w:tabs>
          <w:tab w:val="clear" w:pos="786"/>
          <w:tab w:val="num" w:pos="1440"/>
        </w:tabs>
        <w:spacing w:line="276" w:lineRule="auto"/>
        <w:ind w:left="1440"/>
        <w:jc w:val="both"/>
        <w:rPr>
          <w:color w:val="0D0D0D" w:themeColor="text1" w:themeTint="F2"/>
        </w:rPr>
      </w:pPr>
      <w:r w:rsidRPr="006A2BAB">
        <w:rPr>
          <w:color w:val="0D0D0D" w:themeColor="text1" w:themeTint="F2"/>
        </w:rPr>
        <w:t xml:space="preserve">Shpenzime të tjera mirëmbajtje/furnizime, e të tjera shërbime bazë te fuksionimit </w:t>
      </w:r>
    </w:p>
    <w:p w:rsidR="00221860" w:rsidRPr="006A2BAB" w:rsidRDefault="00221860" w:rsidP="00221860">
      <w:pPr>
        <w:numPr>
          <w:ilvl w:val="1"/>
          <w:numId w:val="2"/>
        </w:numPr>
        <w:tabs>
          <w:tab w:val="clear" w:pos="786"/>
          <w:tab w:val="num" w:pos="1440"/>
        </w:tabs>
        <w:spacing w:line="276" w:lineRule="auto"/>
        <w:ind w:left="1440"/>
        <w:jc w:val="both"/>
        <w:rPr>
          <w:color w:val="0D0D0D" w:themeColor="text1" w:themeTint="F2"/>
        </w:rPr>
      </w:pPr>
      <w:r w:rsidRPr="006A2BAB">
        <w:t>Në infrastrukturën informatike të KDIMDP-së, janë  implementuar sisteme/platforma/ software të ndryshme   për mbrojtjen e komunikimit elektronik (e-maile) apo komunikimin me jashtë ( REKPDI/pyet shtetin)   të cilat  funksionojn nën një licencë dhe mirëmbajtje rutinë periodike vjetore.  Prokurimi i rinovimit të licencave dhe updateve i ka shërbyer KDIMDP-së për funksionimin optimal të pajisjeve të teknologjisë së informacionit, rritjen e sigurisë së rrjetit si dhe lehtësimin e punës së përdoruesve të infrastrukturës teknologjike të saj</w:t>
      </w:r>
    </w:p>
    <w:p w:rsidR="00221860" w:rsidRPr="006A2BAB" w:rsidRDefault="00221860" w:rsidP="00221860">
      <w:pPr>
        <w:spacing w:line="276" w:lineRule="auto"/>
        <w:ind w:left="1080"/>
        <w:jc w:val="both"/>
        <w:rPr>
          <w:color w:val="0D0D0D" w:themeColor="text1" w:themeTint="F2"/>
        </w:rPr>
      </w:pPr>
    </w:p>
    <w:p w:rsidR="00221860" w:rsidRPr="006A2BAB" w:rsidRDefault="00221860" w:rsidP="00221860">
      <w:pPr>
        <w:numPr>
          <w:ilvl w:val="1"/>
          <w:numId w:val="2"/>
        </w:numPr>
        <w:tabs>
          <w:tab w:val="clear" w:pos="786"/>
          <w:tab w:val="num" w:pos="1440"/>
        </w:tabs>
        <w:spacing w:line="276" w:lineRule="auto"/>
        <w:ind w:left="1440"/>
        <w:jc w:val="both"/>
        <w:rPr>
          <w:color w:val="0D0D0D" w:themeColor="text1" w:themeTint="F2"/>
        </w:rPr>
      </w:pPr>
      <w:r w:rsidRPr="006A2BAB">
        <w:rPr>
          <w:color w:val="0D0D0D" w:themeColor="text1" w:themeTint="F2"/>
        </w:rPr>
        <w:t xml:space="preserve">Shpenzime administrative </w:t>
      </w:r>
      <w:r w:rsidRPr="006A2BAB">
        <w:rPr>
          <w:rFonts w:eastAsia="Calibri"/>
        </w:rPr>
        <w:t xml:space="preserve">për mbulimin financiar të aktiviteteve të shtuara, si rezultat i  </w:t>
      </w:r>
      <w:r w:rsidRPr="006A2BAB">
        <w:t>funksioneve dhe kompetencave shtesë të Zyrës së Komisionerit, por edhe për shkak të rëndësisë dhe intensitetit   të takimeve  jashtë vendit në kuadër të procesit të integrimit evropian.</w:t>
      </w:r>
    </w:p>
    <w:p w:rsidR="00221860" w:rsidRPr="006A2BAB" w:rsidRDefault="00221860" w:rsidP="00221860">
      <w:pPr>
        <w:spacing w:line="276" w:lineRule="auto"/>
        <w:jc w:val="both"/>
        <w:rPr>
          <w:color w:val="0D0D0D" w:themeColor="text1" w:themeTint="F2"/>
        </w:rPr>
      </w:pPr>
    </w:p>
    <w:p w:rsidR="00221860" w:rsidRPr="006A2BAB" w:rsidRDefault="00221860" w:rsidP="00221860">
      <w:pPr>
        <w:spacing w:line="276" w:lineRule="auto"/>
        <w:jc w:val="both"/>
        <w:rPr>
          <w:rFonts w:eastAsia="Batang"/>
          <w:color w:val="0D0D0D" w:themeColor="text1" w:themeTint="F2"/>
          <w:lang w:val="sv-SE"/>
        </w:rPr>
      </w:pPr>
      <w:r w:rsidRPr="006A2BAB">
        <w:rPr>
          <w:rFonts w:eastAsia="Batang"/>
          <w:color w:val="0D0D0D" w:themeColor="text1" w:themeTint="F2"/>
          <w:lang w:val="sv-SE"/>
        </w:rPr>
        <w:t xml:space="preserve">Gjatë kësaj periudhe raportimi janë zhvilluar 27 procedura prokurimi të gjitha të sukseshme me fitues dhe plotësim kërkesash. </w:t>
      </w:r>
    </w:p>
    <w:p w:rsidR="00221860" w:rsidRPr="006A2BAB" w:rsidRDefault="00221860" w:rsidP="00221860">
      <w:pPr>
        <w:spacing w:line="276" w:lineRule="auto"/>
        <w:jc w:val="both"/>
        <w:rPr>
          <w:rFonts w:eastAsia="Batang"/>
          <w:color w:val="0D0D0D" w:themeColor="text1" w:themeTint="F2"/>
          <w:lang w:val="sv-SE"/>
        </w:rPr>
      </w:pPr>
      <w:r w:rsidRPr="006A2BAB">
        <w:rPr>
          <w:rFonts w:eastAsia="Batang"/>
          <w:color w:val="0D0D0D" w:themeColor="text1" w:themeTint="F2"/>
          <w:lang w:val="sv-SE"/>
        </w:rPr>
        <w:t xml:space="preserve">Në periudhat më pas   do të vijohet me kryerjen e finalizimin e procedurave te mbetura nga prokurimi për sigurimin e materialeve, sipas prioriteteve, duke garantuar vazhdimësinë e veprimtarisë së përditshme dhe realizimin e treguesve në masen 100 % </w:t>
      </w:r>
    </w:p>
    <w:p w:rsidR="00221860" w:rsidRPr="006A2BAB" w:rsidRDefault="00221860" w:rsidP="00221860">
      <w:pPr>
        <w:spacing w:line="276" w:lineRule="auto"/>
        <w:jc w:val="both"/>
        <w:rPr>
          <w:color w:val="0D0D0D" w:themeColor="text1" w:themeTint="F2"/>
        </w:rPr>
      </w:pPr>
    </w:p>
    <w:p w:rsidR="00221860" w:rsidRPr="006A2BAB" w:rsidRDefault="00221860" w:rsidP="00221860">
      <w:pPr>
        <w:spacing w:line="276" w:lineRule="auto"/>
        <w:jc w:val="both"/>
        <w:rPr>
          <w:color w:val="0D0D0D" w:themeColor="text1" w:themeTint="F2"/>
        </w:rPr>
      </w:pPr>
      <w:r w:rsidRPr="006A2BAB">
        <w:rPr>
          <w:rFonts w:eastAsia="Batang"/>
          <w:b/>
          <w:bCs/>
          <w:u w:val="single"/>
        </w:rPr>
        <w:t xml:space="preserve">Fondi për shpenzime investime </w:t>
      </w:r>
      <w:r w:rsidRPr="006A2BAB">
        <w:rPr>
          <w:rFonts w:eastAsia="Batang"/>
          <w:b/>
        </w:rPr>
        <w:t xml:space="preserve">(zëri 231), </w:t>
      </w:r>
      <w:r w:rsidRPr="006A2BAB">
        <w:rPr>
          <w:color w:val="0D0D0D" w:themeColor="text1" w:themeTint="F2"/>
        </w:rPr>
        <w:t xml:space="preserve">me ligjin nr. 84/2022“ Për Buxhetin e vitit 2023” , Zyrës së Komisionerit për të drejtën e Informimit dhe Mbrojtjen e të dhënave personale  është alokuar fondi i investimeve </w:t>
      </w:r>
    </w:p>
    <w:p w:rsidR="00221860" w:rsidRPr="006A2BAB" w:rsidRDefault="00221860" w:rsidP="00221860">
      <w:pPr>
        <w:spacing w:line="276" w:lineRule="auto"/>
        <w:jc w:val="both"/>
        <w:rPr>
          <w:color w:val="0D0D0D" w:themeColor="text1" w:themeTint="F2"/>
        </w:rPr>
      </w:pPr>
    </w:p>
    <w:p w:rsidR="00221860" w:rsidRPr="006A2BAB" w:rsidRDefault="00221860" w:rsidP="00221860">
      <w:pPr>
        <w:pStyle w:val="ListParagraph"/>
        <w:numPr>
          <w:ilvl w:val="0"/>
          <w:numId w:val="36"/>
        </w:numPr>
        <w:jc w:val="both"/>
        <w:rPr>
          <w:rFonts w:ascii="Times New Roman" w:hAnsi="Times New Roman"/>
          <w:color w:val="0D0D0D" w:themeColor="text1" w:themeTint="F2"/>
          <w:sz w:val="24"/>
          <w:szCs w:val="24"/>
        </w:rPr>
      </w:pPr>
      <w:r w:rsidRPr="006A2BAB">
        <w:rPr>
          <w:rFonts w:ascii="Times New Roman" w:hAnsi="Times New Roman"/>
          <w:color w:val="0D0D0D" w:themeColor="text1" w:themeTint="F2"/>
          <w:sz w:val="24"/>
          <w:szCs w:val="24"/>
        </w:rPr>
        <w:t>në projektin M890008 “</w:t>
      </w:r>
      <w:r w:rsidRPr="006A2BAB">
        <w:rPr>
          <w:rFonts w:ascii="Times New Roman" w:hAnsi="Times New Roman"/>
          <w:sz w:val="24"/>
          <w:szCs w:val="24"/>
        </w:rPr>
        <w:t>Blerje Softe/sistemi elektronik i menaxhimit të praktikave dhe të dhënave</w:t>
      </w:r>
      <w:r w:rsidRPr="006A2BAB">
        <w:rPr>
          <w:rFonts w:ascii="Times New Roman" w:hAnsi="Times New Roman"/>
          <w:color w:val="0D0D0D" w:themeColor="text1" w:themeTint="F2"/>
          <w:sz w:val="24"/>
          <w:szCs w:val="24"/>
        </w:rPr>
        <w:t xml:space="preserve">”,  në vlerën  6.000.000  lekë. </w:t>
      </w:r>
    </w:p>
    <w:p w:rsidR="00221860" w:rsidRPr="006A2BAB" w:rsidRDefault="00221860" w:rsidP="00221860">
      <w:pPr>
        <w:spacing w:line="276" w:lineRule="auto"/>
        <w:jc w:val="both"/>
        <w:rPr>
          <w:color w:val="0D0D0D" w:themeColor="text1" w:themeTint="F2"/>
        </w:rPr>
      </w:pPr>
      <w:r w:rsidRPr="006A2BAB">
        <w:rPr>
          <w:color w:val="0D0D0D" w:themeColor="text1" w:themeTint="F2"/>
        </w:rPr>
        <w:t xml:space="preserve">Mbi bazën e këtij fondi Zyra e KDIMDP ka realizuar hartimin e regjistrit të parashikimeve të prokurimeve publike,  ndërsa ka përfunduar me sukses edhe procesin e prokurimit elektronik, për të cilën  është lidhur kontrata me operatorin ekonomik fitues në vlerën  e investimit  5.400.000 lekë me tvsh, çka do të thotë se është realizuar plotësisht  si projekt ndërsa ka përfitime financiare në masën 10 % </w:t>
      </w:r>
    </w:p>
    <w:p w:rsidR="006A2BAB" w:rsidRPr="006A2BAB" w:rsidRDefault="00221860" w:rsidP="00221860">
      <w:pPr>
        <w:spacing w:line="276" w:lineRule="auto"/>
        <w:jc w:val="both"/>
        <w:rPr>
          <w:color w:val="0D0D0D" w:themeColor="text1" w:themeTint="F2"/>
        </w:rPr>
      </w:pPr>
      <w:r w:rsidRPr="006A2BAB">
        <w:rPr>
          <w:color w:val="0D0D0D" w:themeColor="text1" w:themeTint="F2"/>
          <w:lang w:val="it-IT"/>
        </w:rPr>
        <w:t xml:space="preserve">Si  </w:t>
      </w:r>
      <w:r w:rsidRPr="006A2BAB">
        <w:rPr>
          <w:color w:val="0D0D0D" w:themeColor="text1" w:themeTint="F2"/>
        </w:rPr>
        <w:t>rezultat  i përfitimeve financiare  nga procesi i prokurimit,   në</w:t>
      </w:r>
      <w:r w:rsidRPr="006A2BAB">
        <w:rPr>
          <w:color w:val="0D0D0D" w:themeColor="text1" w:themeTint="F2"/>
          <w:lang w:val="it-IT"/>
        </w:rPr>
        <w:t xml:space="preserve">  kodin e projektit  </w:t>
      </w:r>
      <w:r w:rsidRPr="006A2BAB">
        <w:rPr>
          <w:color w:val="0D0D0D" w:themeColor="text1" w:themeTint="F2"/>
        </w:rPr>
        <w:t xml:space="preserve">M890008 “Blerje Softe/sistemi elektronik i menaxhimit të praktikave dhe të dhënave”, </w:t>
      </w:r>
      <w:r w:rsidRPr="006A2BAB">
        <w:rPr>
          <w:rFonts w:eastAsia="Calibri"/>
          <w:color w:val="0D0D0D" w:themeColor="text1" w:themeTint="F2"/>
        </w:rPr>
        <w:lastRenderedPageBreak/>
        <w:t xml:space="preserve">Zyra e Komisionerit  kërkoi  pranë MFE  mundësinë e miratimit të rialokimit  në  projektin, me kod 18AD102 </w:t>
      </w:r>
      <w:r w:rsidRPr="006A2BAB">
        <w:rPr>
          <w:color w:val="0D0D0D" w:themeColor="text1" w:themeTint="F2"/>
        </w:rPr>
        <w:t xml:space="preserve">“Blerje pajisje zyre&amp;Kompjuterike/elektronike/vegla e instrumenta”, në vlerën </w:t>
      </w:r>
      <w:r w:rsidRPr="006A2BAB">
        <w:rPr>
          <w:b/>
          <w:color w:val="0D0D0D" w:themeColor="text1" w:themeTint="F2"/>
        </w:rPr>
        <w:t>600.000 lekë</w:t>
      </w:r>
      <w:r w:rsidRPr="006A2BAB">
        <w:rPr>
          <w:color w:val="0D0D0D" w:themeColor="text1" w:themeTint="F2"/>
        </w:rPr>
        <w:t xml:space="preserve">, </w:t>
      </w:r>
      <w:r w:rsidRPr="006A2BAB">
        <w:rPr>
          <w:color w:val="0D0D0D" w:themeColor="text1" w:themeTint="F2"/>
          <w:lang w:val="it-IT"/>
        </w:rPr>
        <w:t>për plotësimin me sete pune bazë të stafit të ri  (tavolina, karrige, pc etj),  në vijueshmërinë normale të punës.</w:t>
      </w:r>
      <w:r w:rsidRPr="006A2BAB">
        <w:rPr>
          <w:color w:val="0D0D0D" w:themeColor="text1" w:themeTint="F2"/>
        </w:rPr>
        <w:t xml:space="preserve"> Kërkesa e Zyres se Komisionerit eshte permbushr nderkohe qe eshte nisur edhe nje kerkese per shtese fondi ne masen 600.000 për   këtë projekt ( 18 AD 102)  në aktin më të parë të mundshëm të ndryshimit të buxhetit për vitin 2023. Eshtë ndjekur dhe ka përfunduar procedura e sigurimit të mobiljeve të reja për stafin e pritshëm në ambjentet open space, por efekti financiar do të reflektohet në raportimin e radhës pasi në muajin shtator është kryer pagesa</w:t>
      </w:r>
      <w:r w:rsidR="009150BD" w:rsidRPr="006A2BAB">
        <w:rPr>
          <w:color w:val="0D0D0D" w:themeColor="text1" w:themeTint="F2"/>
        </w:rPr>
        <w:t xml:space="preserve">. Aktualisht reflektimi i pagesave tregon </w:t>
      </w:r>
      <w:r w:rsidR="006A2BAB" w:rsidRPr="006A2BAB">
        <w:rPr>
          <w:color w:val="0D0D0D" w:themeColor="text1" w:themeTint="F2"/>
        </w:rPr>
        <w:t xml:space="preserve">realizimin në masën 90 % përkundrejt planifikimit vjetor. </w:t>
      </w:r>
      <w:r w:rsidRPr="006A2BAB">
        <w:rPr>
          <w:color w:val="0D0D0D" w:themeColor="text1" w:themeTint="F2"/>
        </w:rPr>
        <w:t xml:space="preserve"> </w:t>
      </w:r>
    </w:p>
    <w:p w:rsidR="009150BD" w:rsidRPr="006A2BAB" w:rsidRDefault="00560291" w:rsidP="00221860">
      <w:pPr>
        <w:spacing w:line="276" w:lineRule="auto"/>
        <w:jc w:val="both"/>
        <w:rPr>
          <w:color w:val="0D0D0D" w:themeColor="text1" w:themeTint="F2"/>
          <w:lang w:val="it-IT"/>
        </w:rPr>
      </w:pPr>
      <w:r w:rsidRPr="006A2BAB">
        <w:rPr>
          <w:color w:val="0D0D0D" w:themeColor="text1" w:themeTint="F2"/>
        </w:rPr>
        <w:t>N</w:t>
      </w:r>
      <w:r w:rsidR="00221860" w:rsidRPr="006A2BAB">
        <w:rPr>
          <w:color w:val="0D0D0D" w:themeColor="text1" w:themeTint="F2"/>
        </w:rPr>
        <w:t xml:space="preserve">ë vlerë totale </w:t>
      </w:r>
      <w:r w:rsidR="006A2BAB" w:rsidRPr="006A2BAB">
        <w:rPr>
          <w:color w:val="0D0D0D" w:themeColor="text1" w:themeTint="F2"/>
        </w:rPr>
        <w:t xml:space="preserve">(pasi kanë përfunduar procedurat e prokurimit dhe realizimit) </w:t>
      </w:r>
      <w:r w:rsidR="00221860" w:rsidRPr="006A2BAB">
        <w:rPr>
          <w:color w:val="0D0D0D" w:themeColor="text1" w:themeTint="F2"/>
        </w:rPr>
        <w:t xml:space="preserve">rezulton që fondi i investimeve është  realizuar në masën 100 %   </w:t>
      </w:r>
      <w:r w:rsidR="00221860" w:rsidRPr="006A2BAB">
        <w:rPr>
          <w:color w:val="0D0D0D" w:themeColor="text1" w:themeTint="F2"/>
          <w:lang w:val="it-IT"/>
        </w:rPr>
        <w:t xml:space="preserve"> </w:t>
      </w:r>
    </w:p>
    <w:p w:rsidR="00221860" w:rsidRPr="006A2BAB" w:rsidRDefault="00221860" w:rsidP="00221860">
      <w:pPr>
        <w:spacing w:line="276" w:lineRule="auto"/>
        <w:jc w:val="both"/>
        <w:rPr>
          <w:rFonts w:eastAsia="Calibri"/>
          <w:color w:val="0D0D0D" w:themeColor="text1" w:themeTint="F2"/>
        </w:rPr>
      </w:pPr>
      <w:r w:rsidRPr="006A2BAB">
        <w:rPr>
          <w:color w:val="0D0D0D" w:themeColor="text1" w:themeTint="F2"/>
          <w:lang w:val="it-IT"/>
        </w:rPr>
        <w:t xml:space="preserve">  </w:t>
      </w:r>
    </w:p>
    <w:p w:rsidR="00CE26A1" w:rsidRPr="006A2BAB" w:rsidRDefault="00BC2353" w:rsidP="00000F0F">
      <w:pPr>
        <w:spacing w:line="276" w:lineRule="auto"/>
        <w:jc w:val="both"/>
        <w:rPr>
          <w:rFonts w:eastAsia="Batang"/>
        </w:rPr>
      </w:pPr>
      <w:r w:rsidRPr="006A2BAB">
        <w:rPr>
          <w:rFonts w:eastAsia="Batang"/>
          <w:b/>
        </w:rPr>
        <w:t xml:space="preserve">Në Aneksin nr. 3 </w:t>
      </w:r>
      <w:r w:rsidRPr="006A2BAB">
        <w:rPr>
          <w:rFonts w:eastAsia="Batang"/>
        </w:rPr>
        <w:t xml:space="preserve">është paraqitur realizimi i treguesve të performancës/produkteve </w:t>
      </w:r>
      <w:r w:rsidR="00532310" w:rsidRPr="006A2BAB">
        <w:rPr>
          <w:rFonts w:eastAsia="Batang"/>
        </w:rPr>
        <w:t xml:space="preserve">                                      </w:t>
      </w:r>
      <w:r w:rsidRPr="006A2BAB">
        <w:rPr>
          <w:rFonts w:eastAsia="Batang"/>
        </w:rPr>
        <w:t>(në sasi dhe vlerë) në z</w:t>
      </w:r>
      <w:r w:rsidR="00BB2EF3" w:rsidRPr="006A2BAB">
        <w:rPr>
          <w:rFonts w:eastAsia="Batang"/>
        </w:rPr>
        <w:t>batim të objektivave për viti</w:t>
      </w:r>
      <w:r w:rsidR="00BA2D34" w:rsidRPr="006A2BAB">
        <w:rPr>
          <w:rFonts w:eastAsia="Batang"/>
        </w:rPr>
        <w:t>n</w:t>
      </w:r>
      <w:r w:rsidR="00BB2EF3" w:rsidRPr="006A2BAB">
        <w:rPr>
          <w:rFonts w:eastAsia="Batang"/>
        </w:rPr>
        <w:t xml:space="preserve"> </w:t>
      </w:r>
      <w:r w:rsidRPr="006A2BAB">
        <w:rPr>
          <w:rFonts w:eastAsia="Batang"/>
        </w:rPr>
        <w:t>202</w:t>
      </w:r>
      <w:r w:rsidR="00854A88" w:rsidRPr="006A2BAB">
        <w:rPr>
          <w:rFonts w:eastAsia="Batang"/>
        </w:rPr>
        <w:t>3</w:t>
      </w:r>
    </w:p>
    <w:p w:rsidR="006560A0" w:rsidRPr="006A2BAB" w:rsidRDefault="006560A0" w:rsidP="00000F0F">
      <w:pPr>
        <w:pStyle w:val="ListParagraph"/>
        <w:ind w:left="0"/>
        <w:contextualSpacing w:val="0"/>
        <w:jc w:val="both"/>
        <w:rPr>
          <w:rFonts w:ascii="Times New Roman" w:hAnsi="Times New Roman"/>
          <w:sz w:val="24"/>
          <w:szCs w:val="24"/>
        </w:rPr>
      </w:pPr>
      <w:r w:rsidRPr="006A2BAB">
        <w:rPr>
          <w:rFonts w:ascii="Times New Roman" w:hAnsi="Times New Roman"/>
          <w:sz w:val="24"/>
          <w:szCs w:val="24"/>
        </w:rPr>
        <w:t>Mbikëqyrja e zbatimit të Ligjit nr. 119/2014 “Për të Drejtën e Informimit”, është kryer nëpërmjet monitorimit të elementëve të ndryshëm të ligjit si p.sh. numri i autoriteteve publike që kanë hartuar programet e transparencës, koordinatorë të caktuar nga autoritetet publike, përditësimi i regjistrit të kërkesave dhe përgjigjeve, numri i ankesave të shqyrtuara, hetimet e kryera, seanca dëgjimore të zhvi</w:t>
      </w:r>
      <w:r w:rsidR="00532310" w:rsidRPr="006A2BAB">
        <w:rPr>
          <w:rFonts w:ascii="Times New Roman" w:hAnsi="Times New Roman"/>
          <w:sz w:val="24"/>
          <w:szCs w:val="24"/>
        </w:rPr>
        <w:t xml:space="preserve">lluara si dhe vendimet e dhëna. </w:t>
      </w:r>
      <w:r w:rsidRPr="006A2BAB">
        <w:rPr>
          <w:rFonts w:ascii="Times New Roman" w:hAnsi="Times New Roman"/>
          <w:sz w:val="24"/>
          <w:szCs w:val="24"/>
        </w:rPr>
        <w:t>Produktet kryesore janë:</w:t>
      </w:r>
    </w:p>
    <w:p w:rsidR="006560A0" w:rsidRPr="006A2BAB" w:rsidRDefault="006560A0" w:rsidP="00000F0F">
      <w:pPr>
        <w:spacing w:after="160" w:line="276" w:lineRule="auto"/>
        <w:jc w:val="both"/>
        <w:rPr>
          <w:color w:val="0D0D0D" w:themeColor="text1" w:themeTint="F2"/>
        </w:rPr>
      </w:pPr>
      <w:r w:rsidRPr="006A2BAB">
        <w:rPr>
          <w:rFonts w:eastAsia="Batang"/>
          <w:b/>
          <w:color w:val="0D0D0D" w:themeColor="text1" w:themeTint="F2"/>
        </w:rPr>
        <w:t>Nënprodukti A:</w:t>
      </w:r>
      <w:r w:rsidR="00817046" w:rsidRPr="006A2BAB">
        <w:rPr>
          <w:rFonts w:eastAsia="Batang"/>
          <w:b/>
          <w:color w:val="0D0D0D" w:themeColor="text1" w:themeTint="F2"/>
        </w:rPr>
        <w:t xml:space="preserve"> </w:t>
      </w:r>
      <w:r w:rsidRPr="006A2BAB">
        <w:rPr>
          <w:b/>
          <w:color w:val="0D0D0D" w:themeColor="text1" w:themeTint="F2"/>
        </w:rPr>
        <w:t>Trajtim i ankesave brenda afateve</w:t>
      </w:r>
      <w:r w:rsidR="00532310" w:rsidRPr="006A2BAB">
        <w:rPr>
          <w:color w:val="0D0D0D" w:themeColor="text1" w:themeTint="F2"/>
        </w:rPr>
        <w:t xml:space="preserve"> (kthim përgjigje/inspektime/</w:t>
      </w:r>
      <w:r w:rsidRPr="006A2BAB">
        <w:rPr>
          <w:color w:val="0D0D0D" w:themeColor="text1" w:themeTint="F2"/>
        </w:rPr>
        <w:t>vendime, kryesisht në bazë të ankesave</w:t>
      </w:r>
      <w:r w:rsidR="00BB2EF3" w:rsidRPr="006A2BAB">
        <w:rPr>
          <w:color w:val="0D0D0D" w:themeColor="text1" w:themeTint="F2"/>
        </w:rPr>
        <w:t xml:space="preserve"> (</w:t>
      </w:r>
      <w:r w:rsidR="007F44D7" w:rsidRPr="006A2BAB">
        <w:rPr>
          <w:color w:val="0D0D0D" w:themeColor="text1" w:themeTint="F2"/>
        </w:rPr>
        <w:t>i ndryshuar)</w:t>
      </w:r>
      <w:r w:rsidRPr="006A2BAB">
        <w:rPr>
          <w:color w:val="0D0D0D" w:themeColor="text1" w:themeTint="F2"/>
        </w:rPr>
        <w:t xml:space="preserve">, rreth </w:t>
      </w:r>
      <w:r w:rsidR="00836746" w:rsidRPr="006A2BAB">
        <w:rPr>
          <w:color w:val="0D0D0D" w:themeColor="text1" w:themeTint="F2"/>
        </w:rPr>
        <w:t>1100</w:t>
      </w:r>
      <w:r w:rsidRPr="006A2BAB">
        <w:rPr>
          <w:color w:val="0D0D0D" w:themeColor="text1" w:themeTint="F2"/>
        </w:rPr>
        <w:t>+-)</w:t>
      </w:r>
    </w:p>
    <w:p w:rsidR="00946F38" w:rsidRPr="006A2BAB" w:rsidRDefault="006560A0" w:rsidP="00000F0F">
      <w:pPr>
        <w:spacing w:after="160" w:line="276" w:lineRule="auto"/>
        <w:jc w:val="both"/>
      </w:pPr>
      <w:r w:rsidRPr="006A2BAB">
        <w:t xml:space="preserve">Zyra e Komisionerit ka </w:t>
      </w:r>
      <w:r w:rsidR="00532310" w:rsidRPr="006A2BAB">
        <w:t xml:space="preserve">realizuar </w:t>
      </w:r>
      <w:r w:rsidRPr="006A2BAB">
        <w:t>monitorimin e zbatimit të ligjit për të drejtën e informimit, duke shqyrtuar jo vetëm ankesat e depozituara, por duke kryer gjithashtu inspektime, seanca dëgjimore si dhe duke marrë vendime urdhërimi apo sanksionimi sipas ligjit për rastet kur është konstatuar refuzim i padrejtë i vënies në dispozicion të informacionit.</w:t>
      </w:r>
      <w:r w:rsidR="00946F38" w:rsidRPr="006A2BAB">
        <w:t xml:space="preserve"> </w:t>
      </w:r>
    </w:p>
    <w:p w:rsidR="00BA2D34" w:rsidRPr="006A2BAB" w:rsidRDefault="00946F38" w:rsidP="00000F0F">
      <w:pPr>
        <w:spacing w:after="160" w:line="276" w:lineRule="auto"/>
        <w:jc w:val="both"/>
        <w:rPr>
          <w:color w:val="0D0D0D" w:themeColor="text1" w:themeTint="F2"/>
        </w:rPr>
      </w:pPr>
      <w:r w:rsidRPr="006A2BAB">
        <w:rPr>
          <w:color w:val="0D0D0D" w:themeColor="text1" w:themeTint="F2"/>
        </w:rPr>
        <w:t xml:space="preserve">Për periudhën e raportimit </w:t>
      </w:r>
      <w:r w:rsidRPr="006A2BAB">
        <w:rPr>
          <w:color w:val="000000" w:themeColor="text1"/>
        </w:rPr>
        <w:t>(</w:t>
      </w:r>
      <w:r w:rsidR="00BF3358" w:rsidRPr="006A2BAB">
        <w:rPr>
          <w:color w:val="000000" w:themeColor="text1"/>
        </w:rPr>
        <w:t>8</w:t>
      </w:r>
      <w:r w:rsidRPr="006A2BAB">
        <w:rPr>
          <w:color w:val="000000" w:themeColor="text1"/>
        </w:rPr>
        <w:t xml:space="preserve">- mujorit të vitit 2023), Drejtoria e Përgjithshme për të Drejtën e Informimit </w:t>
      </w:r>
      <w:r w:rsidRPr="006A2BAB">
        <w:t xml:space="preserve"> ka </w:t>
      </w:r>
      <w:r w:rsidR="00560291" w:rsidRPr="006A2BAB">
        <w:t xml:space="preserve"> </w:t>
      </w:r>
      <w:r w:rsidRPr="006A2BAB">
        <w:rPr>
          <w:color w:val="000000" w:themeColor="text1"/>
        </w:rPr>
        <w:t>administruar</w:t>
      </w:r>
      <w:r w:rsidR="00560291" w:rsidRPr="006A2BAB">
        <w:rPr>
          <w:color w:val="000000" w:themeColor="text1"/>
        </w:rPr>
        <w:t xml:space="preserve"> gati dyfishin e ankesave të 4- mujorit të parë , </w:t>
      </w:r>
      <w:r w:rsidRPr="006A2BAB">
        <w:rPr>
          <w:color w:val="000000" w:themeColor="text1"/>
        </w:rPr>
        <w:t xml:space="preserve"> </w:t>
      </w:r>
      <w:r w:rsidR="00BF3358" w:rsidRPr="006A2BAB">
        <w:rPr>
          <w:b/>
          <w:color w:val="000000" w:themeColor="text1"/>
        </w:rPr>
        <w:t>619</w:t>
      </w:r>
      <w:r w:rsidRPr="006A2BAB">
        <w:rPr>
          <w:b/>
          <w:color w:val="000000" w:themeColor="text1"/>
        </w:rPr>
        <w:t xml:space="preserve"> ankesa</w:t>
      </w:r>
      <w:r w:rsidRPr="006A2BAB">
        <w:rPr>
          <w:color w:val="000000" w:themeColor="text1"/>
        </w:rPr>
        <w:t xml:space="preserve"> nga qytetarë, përfaqësues të shoqërisë civile dhe gazetarë investigativë, si dhe ka vijuar shqyrtimi i </w:t>
      </w:r>
      <w:r w:rsidRPr="006A2BAB">
        <w:rPr>
          <w:b/>
          <w:color w:val="000000" w:themeColor="text1"/>
        </w:rPr>
        <w:t>48 ankesave</w:t>
      </w:r>
      <w:r w:rsidRPr="006A2BAB">
        <w:rPr>
          <w:color w:val="000000" w:themeColor="text1"/>
        </w:rPr>
        <w:t xml:space="preserve"> të mbartura nga viti 2022.</w:t>
      </w:r>
      <w:r w:rsidR="00BA2D34" w:rsidRPr="006A2BAB">
        <w:t xml:space="preserve"> </w:t>
      </w:r>
      <w:r w:rsidR="00BA2D34" w:rsidRPr="006A2BAB">
        <w:rPr>
          <w:color w:val="0D0D0D" w:themeColor="text1" w:themeTint="F2"/>
        </w:rPr>
        <w:t xml:space="preserve">Ka një prirje të konsoliduar për sa i përket dhënies së informacionit/dokumentacionit të kërkuar nga ankuesit, gjatë zhvillimit të procesit të hetimit administrativ nga Zyra e Komisionerit. </w:t>
      </w:r>
      <w:r w:rsidR="0039541B" w:rsidRPr="006A2BAB">
        <w:rPr>
          <w:color w:val="0D0D0D" w:themeColor="text1" w:themeTint="F2"/>
        </w:rPr>
        <w:t xml:space="preserve"> </w:t>
      </w:r>
    </w:p>
    <w:p w:rsidR="0039541B" w:rsidRPr="006A2BAB" w:rsidRDefault="0039541B" w:rsidP="0039541B">
      <w:pPr>
        <w:spacing w:after="80"/>
        <w:ind w:right="144"/>
        <w:jc w:val="both"/>
      </w:pPr>
      <w:r w:rsidRPr="006A2BAB">
        <w:t xml:space="preserve">Gjatë kësaj periudhe janë zhvilluar </w:t>
      </w:r>
      <w:r w:rsidR="00BF3358" w:rsidRPr="006A2BAB">
        <w:t>26</w:t>
      </w:r>
      <w:r w:rsidRPr="006A2BAB">
        <w:t xml:space="preserve"> seanca dëgjimore, </w:t>
      </w:r>
      <w:r w:rsidR="00BF3358" w:rsidRPr="006A2BAB">
        <w:t>9</w:t>
      </w:r>
      <w:r w:rsidRPr="006A2BAB">
        <w:t xml:space="preserve"> inspektime, janë dhënë </w:t>
      </w:r>
      <w:r w:rsidR="00BF3358" w:rsidRPr="006A2BAB">
        <w:t>25</w:t>
      </w:r>
      <w:r w:rsidRPr="006A2BAB">
        <w:t xml:space="preserve"> vendime nga të cilat </w:t>
      </w:r>
      <w:r w:rsidR="00BF3358" w:rsidRPr="006A2BAB">
        <w:t>23</w:t>
      </w:r>
      <w:r w:rsidRPr="006A2BAB">
        <w:t xml:space="preserve"> vendime urdhërimi, </w:t>
      </w:r>
      <w:r w:rsidR="00BF3358" w:rsidRPr="006A2BAB">
        <w:t>2</w:t>
      </w:r>
      <w:r w:rsidRPr="006A2BAB">
        <w:t xml:space="preserve"> vendim rrëzimi. </w:t>
      </w:r>
    </w:p>
    <w:p w:rsidR="0039541B" w:rsidRPr="006A2BAB" w:rsidRDefault="0039541B" w:rsidP="0039541B">
      <w:pPr>
        <w:spacing w:after="80"/>
        <w:ind w:right="144"/>
        <w:jc w:val="both"/>
      </w:pPr>
      <w:r w:rsidRPr="006A2BAB">
        <w:t>Ndërsa informojmë se  </w:t>
      </w:r>
      <w:r w:rsidR="00BF3358" w:rsidRPr="006A2BAB">
        <w:t>75</w:t>
      </w:r>
      <w:r w:rsidRPr="006A2BAB">
        <w:t xml:space="preserve"> ankesa janë në proçes shqyrtimi, </w:t>
      </w:r>
      <w:r w:rsidR="00BF3358" w:rsidRPr="006A2BAB">
        <w:t>28</w:t>
      </w:r>
      <w:r w:rsidRPr="006A2BAB">
        <w:t xml:space="preserve"> ankesa janë konsideruar të paplota, </w:t>
      </w:r>
      <w:r w:rsidR="00BF3358" w:rsidRPr="006A2BAB">
        <w:t>22</w:t>
      </w:r>
      <w:r w:rsidRPr="006A2BAB">
        <w:t xml:space="preserve"> ankesa janë jashtë afatit, </w:t>
      </w:r>
      <w:r w:rsidR="00BF3358" w:rsidRPr="006A2BAB">
        <w:t>90</w:t>
      </w:r>
      <w:r w:rsidRPr="006A2BAB">
        <w:t xml:space="preserve"> ankesa janë konsideruar jashtë objektit dhe </w:t>
      </w:r>
      <w:r w:rsidR="00BF3358" w:rsidRPr="006A2BAB">
        <w:t>15</w:t>
      </w:r>
      <w:r w:rsidRPr="006A2BAB">
        <w:t xml:space="preserve"> prej tyre janë refuzuar  </w:t>
      </w:r>
    </w:p>
    <w:p w:rsidR="002C3FD3" w:rsidRPr="006A2BAB" w:rsidRDefault="002C3FD3" w:rsidP="00000F0F">
      <w:pPr>
        <w:spacing w:line="276" w:lineRule="auto"/>
        <w:jc w:val="both"/>
      </w:pPr>
      <w:r w:rsidRPr="006A2BAB">
        <w:t>Në zbatim të ligjit nr.119/2014 “Për të drejtën e informimit”, Zyra e Komisionerit ka vijuar punën për mbikëqyrjen dhe garantimin e të drejtës për akses në informacion publik, duke u mbështetur në vendosjen e balancës dhe respektimin e parimit të proporcionalitetit.</w:t>
      </w:r>
    </w:p>
    <w:p w:rsidR="002C3FD3" w:rsidRPr="006A2BAB" w:rsidRDefault="002C3FD3" w:rsidP="00000F0F">
      <w:pPr>
        <w:spacing w:after="160" w:line="276" w:lineRule="auto"/>
        <w:jc w:val="both"/>
      </w:pPr>
      <w:r w:rsidRPr="006A2BAB">
        <w:lastRenderedPageBreak/>
        <w:t xml:space="preserve">Ky është një tregues cilësor i veprimtarisë së Zyrës së Komisionerit, ku qytetari merr atë çfarë kërkon dhe i nevojitet. </w:t>
      </w:r>
    </w:p>
    <w:p w:rsidR="002C3FD3" w:rsidRPr="006A2BAB" w:rsidRDefault="00532310" w:rsidP="00000F0F">
      <w:pPr>
        <w:spacing w:line="276" w:lineRule="auto"/>
        <w:jc w:val="both"/>
        <w:rPr>
          <w:color w:val="0D0D0D" w:themeColor="text1" w:themeTint="F2"/>
        </w:rPr>
      </w:pPr>
      <w:r w:rsidRPr="006A2BAB">
        <w:rPr>
          <w:b/>
          <w:color w:val="0D0D0D" w:themeColor="text1" w:themeTint="F2"/>
        </w:rPr>
        <w:t>Në tërësi Nënprodukti A:</w:t>
      </w:r>
      <w:r w:rsidR="00A661DA" w:rsidRPr="006A2BAB">
        <w:rPr>
          <w:b/>
          <w:color w:val="0D0D0D" w:themeColor="text1" w:themeTint="F2"/>
        </w:rPr>
        <w:t xml:space="preserve"> </w:t>
      </w:r>
      <w:r w:rsidR="00BF3358" w:rsidRPr="006A2BAB">
        <w:rPr>
          <w:b/>
          <w:color w:val="0D0D0D" w:themeColor="text1" w:themeTint="F2"/>
        </w:rPr>
        <w:t>619</w:t>
      </w:r>
      <w:r w:rsidR="0039541B" w:rsidRPr="006A2BAB">
        <w:rPr>
          <w:b/>
          <w:color w:val="0D0D0D" w:themeColor="text1" w:themeTint="F2"/>
        </w:rPr>
        <w:t>+</w:t>
      </w:r>
      <w:r w:rsidR="00BF3358" w:rsidRPr="006A2BAB">
        <w:rPr>
          <w:b/>
          <w:color w:val="0D0D0D" w:themeColor="text1" w:themeTint="F2"/>
        </w:rPr>
        <w:t>9</w:t>
      </w:r>
      <w:r w:rsidRPr="006A2BAB">
        <w:rPr>
          <w:b/>
          <w:color w:val="0D0D0D" w:themeColor="text1" w:themeTint="F2"/>
        </w:rPr>
        <w:t xml:space="preserve"> (ankesa+</w:t>
      </w:r>
      <w:r w:rsidR="002C3FD3" w:rsidRPr="006A2BAB">
        <w:rPr>
          <w:b/>
          <w:color w:val="0D0D0D" w:themeColor="text1" w:themeTint="F2"/>
        </w:rPr>
        <w:t xml:space="preserve">inspektime) </w:t>
      </w:r>
      <w:r w:rsidRPr="006A2BAB">
        <w:rPr>
          <w:color w:val="0D0D0D" w:themeColor="text1" w:themeTint="F2"/>
        </w:rPr>
        <w:t xml:space="preserve">realizuar mbi </w:t>
      </w:r>
      <w:r w:rsidR="00BF3358" w:rsidRPr="006A2BAB">
        <w:rPr>
          <w:color w:val="0D0D0D" w:themeColor="text1" w:themeTint="F2"/>
        </w:rPr>
        <w:t>57</w:t>
      </w:r>
      <w:r w:rsidR="00A661DA" w:rsidRPr="006A2BAB">
        <w:rPr>
          <w:color w:val="0D0D0D" w:themeColor="text1" w:themeTint="F2"/>
        </w:rPr>
        <w:t xml:space="preserve"> </w:t>
      </w:r>
      <w:r w:rsidRPr="006A2BAB">
        <w:rPr>
          <w:color w:val="0D0D0D" w:themeColor="text1" w:themeTint="F2"/>
        </w:rPr>
        <w:t>% të pritshmërisë</w:t>
      </w:r>
      <w:r w:rsidR="002C3FD3" w:rsidRPr="006A2BAB">
        <w:rPr>
          <w:color w:val="0D0D0D" w:themeColor="text1" w:themeTint="F2"/>
        </w:rPr>
        <w:t xml:space="preserve">. </w:t>
      </w:r>
    </w:p>
    <w:p w:rsidR="002C3FD3" w:rsidRPr="006A2BAB" w:rsidRDefault="002C3FD3" w:rsidP="00000F0F">
      <w:pPr>
        <w:spacing w:line="276" w:lineRule="auto"/>
        <w:jc w:val="both"/>
        <w:rPr>
          <w:color w:val="FF0000"/>
        </w:rPr>
      </w:pPr>
    </w:p>
    <w:p w:rsidR="002C3FD3" w:rsidRPr="006A2BAB" w:rsidRDefault="002C3FD3" w:rsidP="00000F0F">
      <w:pPr>
        <w:spacing w:line="276" w:lineRule="auto"/>
        <w:jc w:val="both"/>
        <w:rPr>
          <w:b/>
          <w:color w:val="0D0D0D" w:themeColor="text1" w:themeTint="F2"/>
        </w:rPr>
      </w:pPr>
      <w:r w:rsidRPr="006A2BAB">
        <w:rPr>
          <w:rFonts w:eastAsia="Batang"/>
          <w:b/>
          <w:color w:val="0D0D0D" w:themeColor="text1" w:themeTint="F2"/>
        </w:rPr>
        <w:t xml:space="preserve">Nënprodukti B- </w:t>
      </w:r>
      <w:r w:rsidRPr="006A2BAB">
        <w:rPr>
          <w:b/>
          <w:color w:val="0D0D0D" w:themeColor="text1" w:themeTint="F2"/>
        </w:rPr>
        <w:t>Monitorim i Autoriteteve Publike me programe transparencë</w:t>
      </w:r>
      <w:r w:rsidR="00532310" w:rsidRPr="006A2BAB">
        <w:rPr>
          <w:b/>
          <w:color w:val="0D0D0D" w:themeColor="text1" w:themeTint="F2"/>
        </w:rPr>
        <w:t xml:space="preserve"> </w:t>
      </w:r>
    </w:p>
    <w:p w:rsidR="002C3FD3" w:rsidRPr="006A2BAB" w:rsidRDefault="002C3FD3" w:rsidP="00000F0F">
      <w:pPr>
        <w:spacing w:line="276" w:lineRule="auto"/>
        <w:jc w:val="both"/>
        <w:rPr>
          <w:b/>
          <w:color w:val="0D0D0D" w:themeColor="text1" w:themeTint="F2"/>
        </w:rPr>
      </w:pPr>
      <w:r w:rsidRPr="006A2BAB">
        <w:rPr>
          <w:b/>
          <w:color w:val="0D0D0D" w:themeColor="text1" w:themeTint="F2"/>
        </w:rPr>
        <w:t xml:space="preserve"> (380+-monitorime) .</w:t>
      </w:r>
    </w:p>
    <w:p w:rsidR="002C3FD3" w:rsidRPr="006A2BAB" w:rsidRDefault="002C3FD3" w:rsidP="00000F0F">
      <w:pPr>
        <w:tabs>
          <w:tab w:val="left" w:pos="960"/>
        </w:tabs>
        <w:spacing w:after="240" w:line="276" w:lineRule="auto"/>
        <w:jc w:val="both"/>
        <w:rPr>
          <w:rFonts w:eastAsia="Calibri"/>
          <w:color w:val="0D0D0D" w:themeColor="text1" w:themeTint="F2"/>
        </w:rPr>
      </w:pPr>
      <w:r w:rsidRPr="006A2BAB">
        <w:rPr>
          <w:rFonts w:eastAsia="Calibri"/>
          <w:color w:val="0D0D0D" w:themeColor="text1" w:themeTint="F2"/>
        </w:rPr>
        <w:t>Zyra e Komisionerit e ka të përditësuar listën e au</w:t>
      </w:r>
      <w:r w:rsidR="00532310" w:rsidRPr="006A2BAB">
        <w:rPr>
          <w:rFonts w:eastAsia="Calibri"/>
          <w:color w:val="0D0D0D" w:themeColor="text1" w:themeTint="F2"/>
        </w:rPr>
        <w:t xml:space="preserve">toriteteve publike, e cila pas </w:t>
      </w:r>
      <w:r w:rsidRPr="006A2BAB">
        <w:rPr>
          <w:rFonts w:eastAsia="Calibri"/>
          <w:color w:val="0D0D0D" w:themeColor="text1" w:themeTint="F2"/>
        </w:rPr>
        <w:t xml:space="preserve">ndryshimeve, për shkak të reformës së riorganizimit strukturor të organeve dhe institucioneve të administratës shtetërore, ku rezultojnë </w:t>
      </w:r>
      <w:r w:rsidRPr="006A2BAB">
        <w:rPr>
          <w:rFonts w:eastAsia="Calibri"/>
          <w:b/>
          <w:color w:val="0D0D0D" w:themeColor="text1" w:themeTint="F2"/>
        </w:rPr>
        <w:t>374 autoritete publike</w:t>
      </w:r>
      <w:r w:rsidRPr="006A2BAB">
        <w:rPr>
          <w:rFonts w:eastAsia="Calibri"/>
          <w:color w:val="0D0D0D" w:themeColor="text1" w:themeTint="F2"/>
        </w:rPr>
        <w:t>.</w:t>
      </w:r>
    </w:p>
    <w:p w:rsidR="002C3FD3" w:rsidRPr="006A2BAB" w:rsidRDefault="002C3FD3" w:rsidP="00000F0F">
      <w:pPr>
        <w:spacing w:after="240" w:line="276" w:lineRule="auto"/>
        <w:jc w:val="both"/>
        <w:rPr>
          <w:color w:val="0D0D0D" w:themeColor="text1" w:themeTint="F2"/>
        </w:rPr>
      </w:pPr>
      <w:r w:rsidRPr="006A2BAB">
        <w:rPr>
          <w:color w:val="0D0D0D" w:themeColor="text1" w:themeTint="F2"/>
        </w:rPr>
        <w:t xml:space="preserve">Ligji për të drejtën e informimit garanton transparencën proaktive dhe nxit integritetin, llogaridhënien dhe përgjegjshmërinë e autoriteteve publike. Një prej instrumenteve kryesorë që kontribuon në këtë drejtim, është programi i transparencës. </w:t>
      </w:r>
    </w:p>
    <w:p w:rsidR="002C3FD3" w:rsidRPr="006A2BAB" w:rsidRDefault="002C3FD3" w:rsidP="00000F0F">
      <w:pPr>
        <w:spacing w:after="240" w:line="276" w:lineRule="auto"/>
        <w:jc w:val="both"/>
        <w:rPr>
          <w:color w:val="0D0D0D" w:themeColor="text1" w:themeTint="F2"/>
        </w:rPr>
      </w:pPr>
      <w:r w:rsidRPr="006A2BAB">
        <w:rPr>
          <w:color w:val="0D0D0D" w:themeColor="text1" w:themeTint="F2"/>
        </w:rPr>
        <w:t xml:space="preserve">Si rezultat i monitorimeve të vazhdueshme, dhe aktiviteteve </w:t>
      </w:r>
      <w:r w:rsidR="00532310" w:rsidRPr="006A2BAB">
        <w:rPr>
          <w:color w:val="0D0D0D" w:themeColor="text1" w:themeTint="F2"/>
        </w:rPr>
        <w:t xml:space="preserve">të tjera trajnuese/inspektuese </w:t>
      </w:r>
      <w:r w:rsidRPr="006A2BAB">
        <w:rPr>
          <w:color w:val="0D0D0D" w:themeColor="text1" w:themeTint="F2"/>
        </w:rPr>
        <w:t xml:space="preserve">nga Zyra e Komisionerit, gjatë </w:t>
      </w:r>
      <w:r w:rsidR="0039541B" w:rsidRPr="006A2BAB">
        <w:rPr>
          <w:color w:val="0D0D0D" w:themeColor="text1" w:themeTint="F2"/>
        </w:rPr>
        <w:t>vitit 2022</w:t>
      </w:r>
      <w:r w:rsidRPr="006A2BAB">
        <w:rPr>
          <w:color w:val="0D0D0D" w:themeColor="text1" w:themeTint="F2"/>
        </w:rPr>
        <w:t xml:space="preserve">, </w:t>
      </w:r>
      <w:r w:rsidR="0039541B" w:rsidRPr="006A2BAB">
        <w:rPr>
          <w:color w:val="0D0D0D" w:themeColor="text1" w:themeTint="F2"/>
        </w:rPr>
        <w:t xml:space="preserve">është </w:t>
      </w:r>
      <w:r w:rsidRPr="006A2BAB">
        <w:rPr>
          <w:color w:val="0D0D0D" w:themeColor="text1" w:themeTint="F2"/>
        </w:rPr>
        <w:t>vëre</w:t>
      </w:r>
      <w:r w:rsidR="0039541B" w:rsidRPr="006A2BAB">
        <w:rPr>
          <w:color w:val="0D0D0D" w:themeColor="text1" w:themeTint="F2"/>
        </w:rPr>
        <w:t xml:space="preserve">jtur </w:t>
      </w:r>
      <w:r w:rsidRPr="006A2BAB">
        <w:rPr>
          <w:color w:val="0D0D0D" w:themeColor="text1" w:themeTint="F2"/>
        </w:rPr>
        <w:t xml:space="preserve">një përmirësim, si në shtimin e numrit të autoriteteve të cilat kanë publikuar programin e transparencës, ashtu edhe në informacionin e publikuar në rubrikat e përfshira në këtë program. </w:t>
      </w:r>
    </w:p>
    <w:p w:rsidR="009B090F" w:rsidRPr="006A2BAB" w:rsidRDefault="009B090F" w:rsidP="00000F0F">
      <w:pPr>
        <w:spacing w:after="240" w:line="276" w:lineRule="auto"/>
        <w:jc w:val="both"/>
        <w:rPr>
          <w:color w:val="0D0D0D" w:themeColor="text1" w:themeTint="F2"/>
        </w:rPr>
      </w:pPr>
      <w:r w:rsidRPr="006A2BAB">
        <w:rPr>
          <w:color w:val="000000" w:themeColor="text1"/>
        </w:rPr>
        <w:t xml:space="preserve">Gjatë </w:t>
      </w:r>
      <w:r w:rsidR="00BF3358" w:rsidRPr="006A2BAB">
        <w:rPr>
          <w:color w:val="000000" w:themeColor="text1"/>
        </w:rPr>
        <w:t>8</w:t>
      </w:r>
      <w:r w:rsidRPr="006A2BAB">
        <w:rPr>
          <w:color w:val="000000" w:themeColor="text1"/>
        </w:rPr>
        <w:t xml:space="preserve"> mujorit të vitit 2023, Zyra e Komisionerit ka monitoruar </w:t>
      </w:r>
      <w:r w:rsidR="00BF3358" w:rsidRPr="006A2BAB">
        <w:rPr>
          <w:color w:val="000000" w:themeColor="text1"/>
        </w:rPr>
        <w:t>200</w:t>
      </w:r>
      <w:r w:rsidRPr="006A2BAB">
        <w:rPr>
          <w:color w:val="000000" w:themeColor="text1"/>
        </w:rPr>
        <w:t xml:space="preserve"> autoritete publike qendrore dhe të varësisë dhe </w:t>
      </w:r>
      <w:r w:rsidR="00BF3358" w:rsidRPr="006A2BAB">
        <w:rPr>
          <w:color w:val="000000" w:themeColor="text1"/>
        </w:rPr>
        <w:t>40</w:t>
      </w:r>
      <w:r w:rsidRPr="006A2BAB">
        <w:rPr>
          <w:color w:val="000000" w:themeColor="text1"/>
        </w:rPr>
        <w:t xml:space="preserve"> Njësi të Vetëqeverisjes Vendore. Sa i përket rezultateve të monitorimit janë dhënë 18 rekomandime për zbatimin e programit të transparencës</w:t>
      </w:r>
      <w:r w:rsidR="00BF3358" w:rsidRPr="006A2BAB">
        <w:rPr>
          <w:color w:val="000000" w:themeColor="text1"/>
        </w:rPr>
        <w:t xml:space="preserve">. </w:t>
      </w:r>
    </w:p>
    <w:p w:rsidR="00A661DA" w:rsidRPr="006A2BAB" w:rsidRDefault="002C3FD3" w:rsidP="00276C7D">
      <w:pPr>
        <w:spacing w:after="80" w:line="276" w:lineRule="auto"/>
        <w:ind w:right="144"/>
        <w:jc w:val="both"/>
        <w:rPr>
          <w:color w:val="0D0D0D" w:themeColor="text1" w:themeTint="F2"/>
        </w:rPr>
      </w:pPr>
      <w:r w:rsidRPr="006A2BAB">
        <w:rPr>
          <w:color w:val="0D0D0D" w:themeColor="text1" w:themeTint="F2"/>
        </w:rPr>
        <w:t>Zyra e Komisionerit për të Drejtën e Informimit dhe Mbr</w:t>
      </w:r>
      <w:r w:rsidR="00532310" w:rsidRPr="006A2BAB">
        <w:rPr>
          <w:color w:val="0D0D0D" w:themeColor="text1" w:themeTint="F2"/>
        </w:rPr>
        <w:t xml:space="preserve">ojtjen e të Dhënave Personale, </w:t>
      </w:r>
      <w:r w:rsidRPr="006A2BAB">
        <w:rPr>
          <w:color w:val="0D0D0D" w:themeColor="text1" w:themeTint="F2"/>
        </w:rPr>
        <w:t xml:space="preserve">ka </w:t>
      </w:r>
      <w:r w:rsidRPr="006A2BAB">
        <w:rPr>
          <w:color w:val="0D0D0D" w:themeColor="text1" w:themeTint="F2"/>
          <w:shd w:val="clear" w:color="auto" w:fill="FFFFFF"/>
        </w:rPr>
        <w:t>miratuar</w:t>
      </w:r>
      <w:r w:rsidR="00532310" w:rsidRPr="006A2BAB">
        <w:rPr>
          <w:color w:val="0D0D0D" w:themeColor="text1" w:themeTint="F2"/>
          <w:shd w:val="clear" w:color="auto" w:fill="FFFFFF"/>
        </w:rPr>
        <w:t xml:space="preserve"> </w:t>
      </w:r>
      <w:r w:rsidRPr="006A2BAB">
        <w:rPr>
          <w:color w:val="0D0D0D" w:themeColor="text1" w:themeTint="F2"/>
        </w:rPr>
        <w:t xml:space="preserve">modelet e reja të Programit të Transparencës dhe Regjistrit të Kërkesave dhe Përgjigjeve. </w:t>
      </w:r>
      <w:r w:rsidR="009B090F" w:rsidRPr="006A2BAB">
        <w:rPr>
          <w:rFonts w:eastAsia="Calibri"/>
        </w:rPr>
        <w:t xml:space="preserve"> </w:t>
      </w:r>
    </w:p>
    <w:p w:rsidR="00B6049A" w:rsidRPr="006A2BAB" w:rsidRDefault="00532310" w:rsidP="00B6049A">
      <w:pPr>
        <w:spacing w:line="276" w:lineRule="auto"/>
        <w:jc w:val="both"/>
        <w:rPr>
          <w:color w:val="0D0D0D" w:themeColor="text1" w:themeTint="F2"/>
        </w:rPr>
      </w:pPr>
      <w:r w:rsidRPr="006A2BAB">
        <w:rPr>
          <w:b/>
          <w:color w:val="0D0D0D" w:themeColor="text1" w:themeTint="F2"/>
        </w:rPr>
        <w:t xml:space="preserve">Nënprodukti B: </w:t>
      </w:r>
      <w:r w:rsidR="00A661DA" w:rsidRPr="006A2BAB">
        <w:rPr>
          <w:b/>
          <w:color w:val="0D0D0D" w:themeColor="text1" w:themeTint="F2"/>
        </w:rPr>
        <w:t xml:space="preserve">Janë monitoruar </w:t>
      </w:r>
      <w:r w:rsidR="00BF3358" w:rsidRPr="006A2BAB">
        <w:rPr>
          <w:b/>
          <w:color w:val="0D0D0D" w:themeColor="text1" w:themeTint="F2"/>
        </w:rPr>
        <w:t xml:space="preserve">200 AP ndërsa  janë kryer edhe 17 hetime administrative.  </w:t>
      </w:r>
      <w:r w:rsidR="00B6049A" w:rsidRPr="006A2BAB">
        <w:rPr>
          <w:color w:val="0D0D0D" w:themeColor="text1" w:themeTint="F2"/>
        </w:rPr>
        <w:t>Është një tregues</w:t>
      </w:r>
      <w:r w:rsidR="00BF3358" w:rsidRPr="006A2BAB">
        <w:rPr>
          <w:color w:val="0D0D0D" w:themeColor="text1" w:themeTint="F2"/>
        </w:rPr>
        <w:t xml:space="preserve"> pozitiv</w:t>
      </w:r>
      <w:r w:rsidR="00B6049A" w:rsidRPr="006A2BAB">
        <w:rPr>
          <w:color w:val="0D0D0D" w:themeColor="text1" w:themeTint="F2"/>
        </w:rPr>
        <w:t xml:space="preserve">,  </w:t>
      </w:r>
      <w:r w:rsidR="00BF3358" w:rsidRPr="006A2BAB">
        <w:rPr>
          <w:color w:val="0D0D0D" w:themeColor="text1" w:themeTint="F2"/>
        </w:rPr>
        <w:t xml:space="preserve"> por </w:t>
      </w:r>
      <w:r w:rsidR="00B6049A" w:rsidRPr="006A2BAB">
        <w:rPr>
          <w:color w:val="0D0D0D" w:themeColor="text1" w:themeTint="F2"/>
        </w:rPr>
        <w:t xml:space="preserve"> </w:t>
      </w:r>
      <w:r w:rsidR="00BF3358" w:rsidRPr="006A2BAB">
        <w:rPr>
          <w:color w:val="0D0D0D" w:themeColor="text1" w:themeTint="F2"/>
        </w:rPr>
        <w:t>m</w:t>
      </w:r>
      <w:r w:rsidR="00B6049A" w:rsidRPr="006A2BAB">
        <w:rPr>
          <w:color w:val="0D0D0D" w:themeColor="text1" w:themeTint="F2"/>
        </w:rPr>
        <w:t xml:space="preserve">onitorimi vijon periodikisht  </w:t>
      </w:r>
    </w:p>
    <w:p w:rsidR="00532310" w:rsidRPr="006A2BAB" w:rsidRDefault="00532310" w:rsidP="00000F0F">
      <w:pPr>
        <w:spacing w:line="276" w:lineRule="auto"/>
        <w:jc w:val="both"/>
        <w:rPr>
          <w:color w:val="0D0D0D" w:themeColor="text1" w:themeTint="F2"/>
        </w:rPr>
      </w:pPr>
    </w:p>
    <w:p w:rsidR="002C3FD3" w:rsidRPr="006A2BAB" w:rsidRDefault="002C3FD3" w:rsidP="00000F0F">
      <w:pPr>
        <w:pStyle w:val="ListParagraph"/>
        <w:numPr>
          <w:ilvl w:val="0"/>
          <w:numId w:val="3"/>
        </w:numPr>
        <w:jc w:val="both"/>
        <w:rPr>
          <w:rFonts w:ascii="Times New Roman" w:hAnsi="Times New Roman"/>
          <w:b/>
          <w:sz w:val="24"/>
          <w:szCs w:val="24"/>
        </w:rPr>
      </w:pPr>
      <w:r w:rsidRPr="006A2BAB">
        <w:rPr>
          <w:rFonts w:ascii="Times New Roman" w:hAnsi="Times New Roman"/>
          <w:b/>
          <w:sz w:val="24"/>
          <w:szCs w:val="24"/>
        </w:rPr>
        <w:t xml:space="preserve">Të tjera aktivitete në funksion të rritjes së transparencës </w:t>
      </w:r>
    </w:p>
    <w:p w:rsidR="002C3FD3" w:rsidRPr="006A2BAB" w:rsidRDefault="002C3FD3" w:rsidP="00000F0F">
      <w:pPr>
        <w:pStyle w:val="ListParagraph"/>
        <w:jc w:val="both"/>
        <w:rPr>
          <w:rFonts w:ascii="Times New Roman" w:hAnsi="Times New Roman"/>
          <w:b/>
          <w:color w:val="0D0D0D" w:themeColor="text1" w:themeTint="F2"/>
          <w:sz w:val="24"/>
          <w:szCs w:val="24"/>
        </w:rPr>
      </w:pPr>
    </w:p>
    <w:p w:rsidR="002C3FD3" w:rsidRPr="006A2BAB" w:rsidRDefault="002C3FD3" w:rsidP="00000F0F">
      <w:pPr>
        <w:pStyle w:val="ListParagraph"/>
        <w:numPr>
          <w:ilvl w:val="0"/>
          <w:numId w:val="9"/>
        </w:numPr>
        <w:jc w:val="both"/>
        <w:rPr>
          <w:rFonts w:ascii="Times New Roman" w:hAnsi="Times New Roman"/>
          <w:b/>
          <w:color w:val="0D0D0D" w:themeColor="text1" w:themeTint="F2"/>
          <w:sz w:val="24"/>
          <w:szCs w:val="24"/>
        </w:rPr>
      </w:pPr>
      <w:r w:rsidRPr="006A2BAB">
        <w:rPr>
          <w:rFonts w:ascii="Times New Roman" w:hAnsi="Times New Roman"/>
          <w:b/>
          <w:color w:val="0D0D0D" w:themeColor="text1" w:themeTint="F2"/>
          <w:sz w:val="24"/>
          <w:szCs w:val="24"/>
        </w:rPr>
        <w:t xml:space="preserve">Kërkesa nëpërmjet regjistrit </w:t>
      </w:r>
    </w:p>
    <w:p w:rsidR="00B6049A" w:rsidRPr="006A2BAB" w:rsidRDefault="002C3FD3" w:rsidP="00B6049A">
      <w:pPr>
        <w:spacing w:line="276" w:lineRule="auto"/>
        <w:ind w:left="-142"/>
        <w:jc w:val="both"/>
      </w:pPr>
      <w:r w:rsidRPr="006A2BAB">
        <w:rPr>
          <w:color w:val="0D0D0D" w:themeColor="text1" w:themeTint="F2"/>
        </w:rPr>
        <w:t>-</w:t>
      </w:r>
      <w:r w:rsidRPr="006A2BAB">
        <w:rPr>
          <w:color w:val="000000" w:themeColor="text1"/>
        </w:rPr>
        <w:t>Me qëllim zbatimin e detyrimeve që burojnë nga ligji nr. 119/2014 “Për të drejtën e informimit”, si dhe duke synuar bërjen sa më efektive të së drejtës për informim si një e drejtë kushtetuese dhe një mjet për garantimin e llogaridhënies së autoriteteve publike, Zyra e Komisionerit për të Drejtën e Informimit dhe Mbrojtjen e të Dhënave Personale ka ngritur “Regjistrin elektronik të kërkesave dhe përgjigjeve për të drejtën e informimit” (REKPDI),</w:t>
      </w:r>
      <w:r w:rsidRPr="006A2BAB">
        <w:rPr>
          <w:color w:val="0D0D0D" w:themeColor="text1" w:themeTint="F2"/>
        </w:rPr>
        <w:t xml:space="preserve"> </w:t>
      </w:r>
      <w:r w:rsidR="00532310" w:rsidRPr="006A2BAB">
        <w:rPr>
          <w:color w:val="080808"/>
        </w:rPr>
        <w:t xml:space="preserve">miratuar me </w:t>
      </w:r>
      <w:r w:rsidR="00532310" w:rsidRPr="006A2BAB">
        <w:t xml:space="preserve">VKM nr. 145/2018. </w:t>
      </w:r>
      <w:r w:rsidR="00B6049A" w:rsidRPr="006A2BAB">
        <w:rPr>
          <w:color w:val="000000" w:themeColor="text1"/>
        </w:rPr>
        <w:t>Nga ana e Drejtorisë së Monitorimit të Programeve të Transparencës përditësohen në vijimësi të dhënat e kontakteve të koordinatorëve për të drejtën e informimit në autoritetet publike, lista dhe emërtimet e tyre, si dhe lidhja me linkun  e programit të transparencës së Autoritetit Publik në portalin Pyetshtetin.</w:t>
      </w:r>
    </w:p>
    <w:p w:rsidR="002C359A" w:rsidRPr="006A2BAB" w:rsidRDefault="00B6049A" w:rsidP="00B6049A">
      <w:pPr>
        <w:spacing w:line="276" w:lineRule="auto"/>
        <w:ind w:left="-142"/>
        <w:jc w:val="both"/>
      </w:pPr>
      <w:r w:rsidRPr="006A2BAB">
        <w:rPr>
          <w:color w:val="000000" w:themeColor="text1"/>
        </w:rPr>
        <w:lastRenderedPageBreak/>
        <w:t>Regjistri elektronik i kërkesave dhe përgjigjeve për 4-mujorin e parë të vitit 2023 është instaluar në 27 autoritetet publike, duke e çuar në 221 numrin total të autoriteteve publike që kanë instaluar regjistrin elektronik.</w:t>
      </w:r>
    </w:p>
    <w:p w:rsidR="00B6049A" w:rsidRPr="006A2BAB" w:rsidRDefault="00B6049A" w:rsidP="00B6049A">
      <w:pPr>
        <w:spacing w:line="276" w:lineRule="auto"/>
        <w:ind w:left="-142"/>
        <w:jc w:val="both"/>
      </w:pPr>
    </w:p>
    <w:p w:rsidR="00CA1C01" w:rsidRPr="006A2BAB" w:rsidRDefault="00CA1C01" w:rsidP="00000F0F">
      <w:pPr>
        <w:spacing w:line="276" w:lineRule="auto"/>
        <w:ind w:left="-142"/>
        <w:jc w:val="both"/>
        <w:rPr>
          <w:color w:val="0D0D0D" w:themeColor="text1" w:themeTint="F2"/>
        </w:rPr>
      </w:pPr>
      <w:r w:rsidRPr="006A2BAB">
        <w:rPr>
          <w:b/>
          <w:color w:val="0D0D0D"/>
        </w:rPr>
        <w:t xml:space="preserve">Aktivitete të tjera mbështetëse. </w:t>
      </w:r>
    </w:p>
    <w:p w:rsidR="00CA1C01" w:rsidRPr="006A2BAB" w:rsidRDefault="00CA1C01" w:rsidP="00000F0F">
      <w:pPr>
        <w:spacing w:before="240" w:after="120" w:line="276" w:lineRule="auto"/>
        <w:jc w:val="both"/>
        <w:rPr>
          <w:rFonts w:eastAsia="Calibri"/>
        </w:rPr>
      </w:pPr>
      <w:r w:rsidRPr="006A2BAB">
        <w:rPr>
          <w:rFonts w:eastAsia="Calibri"/>
        </w:rPr>
        <w:t xml:space="preserve">Zyra e Komisionerit, si një institucion i cili ka në fokus nxitjen e transparencës dhe llogaridhënien e autoriteteve publike është pjesë </w:t>
      </w:r>
      <w:r w:rsidR="00276C7D" w:rsidRPr="006A2BAB">
        <w:rPr>
          <w:rFonts w:eastAsia="Calibri"/>
        </w:rPr>
        <w:t xml:space="preserve">e </w:t>
      </w:r>
      <w:r w:rsidRPr="006A2BAB">
        <w:rPr>
          <w:rFonts w:eastAsia="Calibri"/>
        </w:rPr>
        <w:t xml:space="preserve"> :</w:t>
      </w:r>
    </w:p>
    <w:p w:rsidR="00594F2D" w:rsidRPr="006A2BAB" w:rsidRDefault="00594F2D" w:rsidP="00000F0F">
      <w:pPr>
        <w:spacing w:before="240" w:after="120" w:line="276" w:lineRule="auto"/>
        <w:jc w:val="both"/>
        <w:rPr>
          <w:rFonts w:eastAsia="Calibri"/>
        </w:rPr>
      </w:pPr>
    </w:p>
    <w:p w:rsidR="00CA1C01" w:rsidRPr="006A2BAB" w:rsidRDefault="00F843EA" w:rsidP="00B538F4">
      <w:pPr>
        <w:pStyle w:val="ListParagraph"/>
        <w:numPr>
          <w:ilvl w:val="0"/>
          <w:numId w:val="12"/>
        </w:numPr>
        <w:spacing w:before="240" w:after="160"/>
        <w:ind w:left="360"/>
        <w:jc w:val="both"/>
        <w:rPr>
          <w:rFonts w:ascii="Times New Roman" w:eastAsia="Times New Roman" w:hAnsi="Times New Roman"/>
          <w:sz w:val="24"/>
          <w:szCs w:val="24"/>
        </w:rPr>
      </w:pPr>
      <w:r w:rsidRPr="006A2BAB">
        <w:rPr>
          <w:rFonts w:ascii="Times New Roman" w:hAnsi="Times New Roman"/>
          <w:sz w:val="24"/>
          <w:szCs w:val="24"/>
        </w:rPr>
        <w:t xml:space="preserve">Strategjia Ndërsektoriale për Reformën në Administratën Publike 2015-2022 </w:t>
      </w:r>
    </w:p>
    <w:p w:rsidR="00532310" w:rsidRPr="006A2BAB" w:rsidRDefault="00CA1C01" w:rsidP="00000F0F">
      <w:pPr>
        <w:pStyle w:val="ListParagraph"/>
        <w:numPr>
          <w:ilvl w:val="0"/>
          <w:numId w:val="16"/>
        </w:numPr>
        <w:spacing w:after="0"/>
        <w:rPr>
          <w:rFonts w:ascii="Times New Roman" w:hAnsi="Times New Roman"/>
          <w:color w:val="0D0D0D" w:themeColor="text1" w:themeTint="F2"/>
          <w:sz w:val="24"/>
          <w:szCs w:val="24"/>
        </w:rPr>
      </w:pPr>
      <w:r w:rsidRPr="006A2BAB">
        <w:rPr>
          <w:rFonts w:ascii="Times New Roman" w:hAnsi="Times New Roman"/>
          <w:color w:val="0D0D0D" w:themeColor="text1" w:themeTint="F2"/>
          <w:sz w:val="24"/>
          <w:szCs w:val="24"/>
        </w:rPr>
        <w:t>Strategji</w:t>
      </w:r>
      <w:r w:rsidR="00532310" w:rsidRPr="006A2BAB">
        <w:rPr>
          <w:rFonts w:ascii="Times New Roman" w:hAnsi="Times New Roman"/>
          <w:color w:val="0D0D0D" w:themeColor="text1" w:themeTint="F2"/>
          <w:sz w:val="24"/>
          <w:szCs w:val="24"/>
        </w:rPr>
        <w:t>së</w:t>
      </w:r>
      <w:r w:rsidRPr="006A2BAB">
        <w:rPr>
          <w:rFonts w:ascii="Times New Roman" w:hAnsi="Times New Roman"/>
          <w:color w:val="0D0D0D" w:themeColor="text1" w:themeTint="F2"/>
          <w:sz w:val="24"/>
          <w:szCs w:val="24"/>
        </w:rPr>
        <w:t xml:space="preserve"> Ndërsektoriale Kundër Korrupsionit</w:t>
      </w:r>
      <w:r w:rsidR="00532310" w:rsidRPr="006A2BAB">
        <w:rPr>
          <w:rFonts w:ascii="Times New Roman" w:hAnsi="Times New Roman"/>
          <w:color w:val="0D0D0D" w:themeColor="text1" w:themeTint="F2"/>
          <w:sz w:val="24"/>
          <w:szCs w:val="24"/>
        </w:rPr>
        <w:t xml:space="preserve"> dhe Plani i Veprimit 2020-2023</w:t>
      </w:r>
      <w:r w:rsidR="00F843EA" w:rsidRPr="006A2BAB">
        <w:rPr>
          <w:rFonts w:ascii="Times New Roman" w:hAnsi="Times New Roman"/>
          <w:color w:val="0D0D0D" w:themeColor="text1" w:themeTint="F2"/>
          <w:sz w:val="24"/>
          <w:szCs w:val="24"/>
        </w:rPr>
        <w:t xml:space="preserve"> ( SNKK) </w:t>
      </w:r>
      <w:r w:rsidR="00532310" w:rsidRPr="006A2BAB">
        <w:rPr>
          <w:rFonts w:ascii="Times New Roman" w:hAnsi="Times New Roman"/>
          <w:color w:val="0D0D0D" w:themeColor="text1" w:themeTint="F2"/>
          <w:sz w:val="24"/>
          <w:szCs w:val="24"/>
        </w:rPr>
        <w:t>;</w:t>
      </w:r>
    </w:p>
    <w:p w:rsidR="00CA1C01" w:rsidRPr="006A2BAB" w:rsidRDefault="00CA1C01" w:rsidP="00276C7D">
      <w:pPr>
        <w:pStyle w:val="Heading3"/>
        <w:numPr>
          <w:ilvl w:val="0"/>
          <w:numId w:val="16"/>
        </w:numPr>
        <w:spacing w:before="0"/>
        <w:jc w:val="both"/>
        <w:rPr>
          <w:rFonts w:ascii="Times New Roman" w:hAnsi="Times New Roman" w:cs="Times New Roman"/>
          <w:b w:val="0"/>
          <w:color w:val="0D0D0D" w:themeColor="text1" w:themeTint="F2"/>
          <w:sz w:val="24"/>
          <w:szCs w:val="24"/>
        </w:rPr>
      </w:pPr>
      <w:r w:rsidRPr="006A2BAB">
        <w:rPr>
          <w:rFonts w:ascii="Times New Roman" w:hAnsi="Times New Roman" w:cs="Times New Roman"/>
          <w:b w:val="0"/>
          <w:color w:val="0D0D0D" w:themeColor="text1" w:themeTint="F2"/>
          <w:sz w:val="24"/>
          <w:szCs w:val="24"/>
        </w:rPr>
        <w:t>Strategji</w:t>
      </w:r>
      <w:r w:rsidR="00532310" w:rsidRPr="006A2BAB">
        <w:rPr>
          <w:rFonts w:ascii="Times New Roman" w:hAnsi="Times New Roman" w:cs="Times New Roman"/>
          <w:b w:val="0"/>
          <w:color w:val="0D0D0D" w:themeColor="text1" w:themeTint="F2"/>
          <w:sz w:val="24"/>
          <w:szCs w:val="24"/>
        </w:rPr>
        <w:t>së</w:t>
      </w:r>
      <w:r w:rsidRPr="006A2BAB">
        <w:rPr>
          <w:rFonts w:ascii="Times New Roman" w:hAnsi="Times New Roman" w:cs="Times New Roman"/>
          <w:b w:val="0"/>
          <w:color w:val="0D0D0D" w:themeColor="text1" w:themeTint="F2"/>
          <w:sz w:val="24"/>
          <w:szCs w:val="24"/>
        </w:rPr>
        <w:t xml:space="preserve"> për Edukimin Ligjor të Publikut </w:t>
      </w:r>
      <w:r w:rsidR="00532310" w:rsidRPr="006A2BAB">
        <w:rPr>
          <w:rFonts w:ascii="Times New Roman" w:hAnsi="Times New Roman" w:cs="Times New Roman"/>
          <w:b w:val="0"/>
          <w:color w:val="0D0D0D" w:themeColor="text1" w:themeTint="F2"/>
          <w:sz w:val="24"/>
          <w:szCs w:val="24"/>
        </w:rPr>
        <w:t xml:space="preserve">2019-2023 dhe Plani i Veprimit                    </w:t>
      </w:r>
      <w:r w:rsidRPr="006A2BAB">
        <w:rPr>
          <w:rFonts w:ascii="Times New Roman" w:hAnsi="Times New Roman" w:cs="Times New Roman"/>
          <w:b w:val="0"/>
          <w:color w:val="0D0D0D" w:themeColor="text1" w:themeTint="F2"/>
          <w:sz w:val="24"/>
          <w:szCs w:val="24"/>
        </w:rPr>
        <w:t>2019–2023</w:t>
      </w:r>
      <w:r w:rsidR="00F843EA" w:rsidRPr="006A2BAB">
        <w:rPr>
          <w:rFonts w:ascii="Times New Roman" w:hAnsi="Times New Roman" w:cs="Times New Roman"/>
          <w:b w:val="0"/>
          <w:color w:val="0D0D0D" w:themeColor="text1" w:themeTint="F2"/>
          <w:sz w:val="24"/>
          <w:szCs w:val="24"/>
        </w:rPr>
        <w:t xml:space="preserve"> ( SELP) </w:t>
      </w:r>
      <w:r w:rsidR="00532310" w:rsidRPr="006A2BAB">
        <w:rPr>
          <w:rFonts w:ascii="Times New Roman" w:hAnsi="Times New Roman" w:cs="Times New Roman"/>
          <w:b w:val="0"/>
          <w:color w:val="0D0D0D" w:themeColor="text1" w:themeTint="F2"/>
          <w:sz w:val="24"/>
          <w:szCs w:val="24"/>
        </w:rPr>
        <w:t>;</w:t>
      </w:r>
    </w:p>
    <w:p w:rsidR="00F843EA" w:rsidRPr="006A2BAB" w:rsidRDefault="00F843EA" w:rsidP="00000F0F">
      <w:pPr>
        <w:pStyle w:val="ListParagraph"/>
        <w:numPr>
          <w:ilvl w:val="0"/>
          <w:numId w:val="16"/>
        </w:numPr>
        <w:spacing w:after="0"/>
        <w:jc w:val="both"/>
        <w:rPr>
          <w:rFonts w:ascii="Times New Roman" w:eastAsia="Times New Roman" w:hAnsi="Times New Roman"/>
          <w:color w:val="808080" w:themeColor="background1" w:themeShade="80"/>
          <w:sz w:val="24"/>
          <w:szCs w:val="24"/>
          <w:lang w:eastAsia="ja-JP"/>
        </w:rPr>
      </w:pPr>
      <w:r w:rsidRPr="006A2BAB">
        <w:rPr>
          <w:rFonts w:ascii="Times New Roman" w:eastAsia="Times New Roman" w:hAnsi="Times New Roman"/>
          <w:sz w:val="24"/>
          <w:szCs w:val="24"/>
          <w:lang w:eastAsia="ja-JP"/>
        </w:rPr>
        <w:t>Agjenda Kombëtare për të Drejtat e Fëmijëve (AKDF) dhe Plani i Veprimit 2021-2026</w:t>
      </w:r>
    </w:p>
    <w:p w:rsidR="00F843EA" w:rsidRPr="006A2BAB" w:rsidRDefault="00F843EA" w:rsidP="00000F0F">
      <w:pPr>
        <w:pStyle w:val="ListParagraph"/>
        <w:numPr>
          <w:ilvl w:val="0"/>
          <w:numId w:val="16"/>
        </w:numPr>
        <w:spacing w:after="160"/>
        <w:jc w:val="both"/>
        <w:rPr>
          <w:rFonts w:ascii="Times New Roman" w:hAnsi="Times New Roman"/>
          <w:sz w:val="24"/>
          <w:szCs w:val="24"/>
          <w:lang w:eastAsia="ja-JP"/>
        </w:rPr>
      </w:pPr>
      <w:r w:rsidRPr="006A2BAB">
        <w:rPr>
          <w:rFonts w:ascii="Times New Roman" w:hAnsi="Times New Roman"/>
          <w:sz w:val="24"/>
          <w:szCs w:val="24"/>
          <w:lang w:eastAsia="ja-JP"/>
        </w:rPr>
        <w:t xml:space="preserve">Projekt - Strategjia Kombëtare për Zhvillim dhe Integrim 2030 (SKZHI) </w:t>
      </w:r>
    </w:p>
    <w:p w:rsidR="00CA1C01" w:rsidRPr="006A2BAB" w:rsidRDefault="00F843EA" w:rsidP="00000F0F">
      <w:pPr>
        <w:pStyle w:val="ListParagraph"/>
        <w:numPr>
          <w:ilvl w:val="0"/>
          <w:numId w:val="16"/>
        </w:numPr>
        <w:spacing w:after="160"/>
        <w:jc w:val="both"/>
        <w:rPr>
          <w:rFonts w:ascii="Times New Roman" w:hAnsi="Times New Roman"/>
          <w:sz w:val="24"/>
          <w:szCs w:val="24"/>
        </w:rPr>
      </w:pPr>
      <w:r w:rsidRPr="006A2BAB">
        <w:rPr>
          <w:rFonts w:ascii="Times New Roman" w:hAnsi="Times New Roman"/>
          <w:sz w:val="24"/>
          <w:szCs w:val="24"/>
        </w:rPr>
        <w:t>Strategjia Ndërsektoriale e Drejtësisë për të Mitur (SNDM) dhe Plani i Veprimit 2022-2026</w:t>
      </w:r>
    </w:p>
    <w:p w:rsidR="00276C7D" w:rsidRPr="006A2BAB" w:rsidRDefault="00276C7D" w:rsidP="00276C7D">
      <w:pPr>
        <w:tabs>
          <w:tab w:val="left" w:pos="9180"/>
        </w:tabs>
        <w:spacing w:line="276" w:lineRule="auto"/>
        <w:jc w:val="both"/>
        <w:rPr>
          <w:color w:val="000000" w:themeColor="text1"/>
        </w:rPr>
      </w:pPr>
      <w:r w:rsidRPr="006A2BAB">
        <w:rPr>
          <w:color w:val="000000" w:themeColor="text1"/>
        </w:rPr>
        <w:t xml:space="preserve">Për secilën nga këto strategji </w:t>
      </w:r>
      <w:r w:rsidR="00560291" w:rsidRPr="006A2BAB">
        <w:rPr>
          <w:color w:val="000000" w:themeColor="text1"/>
        </w:rPr>
        <w:t xml:space="preserve">Zyra e Komisionerit </w:t>
      </w:r>
      <w:r w:rsidRPr="006A2BAB">
        <w:rPr>
          <w:color w:val="000000" w:themeColor="text1"/>
        </w:rPr>
        <w:t>ka dh</w:t>
      </w:r>
      <w:r w:rsidR="00560291" w:rsidRPr="006A2BAB">
        <w:rPr>
          <w:color w:val="000000" w:themeColor="text1"/>
        </w:rPr>
        <w:t>ë</w:t>
      </w:r>
      <w:r w:rsidRPr="006A2BAB">
        <w:rPr>
          <w:color w:val="000000" w:themeColor="text1"/>
        </w:rPr>
        <w:t>n</w:t>
      </w:r>
      <w:r w:rsidR="00560291" w:rsidRPr="006A2BAB">
        <w:rPr>
          <w:color w:val="000000" w:themeColor="text1"/>
        </w:rPr>
        <w:t>ë</w:t>
      </w:r>
      <w:r w:rsidRPr="006A2BAB">
        <w:rPr>
          <w:color w:val="000000" w:themeColor="text1"/>
        </w:rPr>
        <w:t xml:space="preserve"> kontributin e saj periodik. </w:t>
      </w:r>
    </w:p>
    <w:p w:rsidR="00B6049A" w:rsidRPr="006A2BAB" w:rsidRDefault="00B6049A" w:rsidP="00276C7D">
      <w:pPr>
        <w:tabs>
          <w:tab w:val="left" w:pos="9180"/>
        </w:tabs>
        <w:spacing w:line="276" w:lineRule="auto"/>
        <w:jc w:val="both"/>
        <w:rPr>
          <w:color w:val="000000" w:themeColor="text1"/>
        </w:rPr>
      </w:pPr>
      <w:r w:rsidRPr="006A2BAB">
        <w:rPr>
          <w:color w:val="000000" w:themeColor="text1"/>
        </w:rPr>
        <w:t xml:space="preserve">Është dhënë kontribut mbi komponentët e asistencës teknike të përfituar në kuadër të IPA Good Governance 2020 “Për mirëqeverisjen”, në përgatitjen e pyetësorit e Këshillit të Europës për Konventën </w:t>
      </w:r>
      <w:r w:rsidRPr="006A2BAB">
        <w:rPr>
          <w:color w:val="000000" w:themeColor="text1"/>
          <w:shd w:val="clear" w:color="auto" w:fill="FFFFFF"/>
        </w:rPr>
        <w:t>205/2009 “</w:t>
      </w:r>
      <w:r w:rsidRPr="006A2BAB">
        <w:rPr>
          <w:rStyle w:val="Emphasis"/>
          <w:rFonts w:eastAsia="Calibri"/>
          <w:i w:val="0"/>
          <w:color w:val="000000" w:themeColor="text1"/>
          <w:bdr w:val="none" w:sz="0" w:space="0" w:color="auto" w:frame="1"/>
          <w:shd w:val="clear" w:color="auto" w:fill="FFFFFF"/>
        </w:rPr>
        <w:t>Mbi aksesin në dokumente zyrtare</w:t>
      </w:r>
      <w:r w:rsidRPr="006A2BAB">
        <w:rPr>
          <w:color w:val="000000" w:themeColor="text1"/>
          <w:shd w:val="clear" w:color="auto" w:fill="FFFFFF"/>
        </w:rPr>
        <w:t>”, si dhe</w:t>
      </w:r>
      <w:r w:rsidRPr="006A2BAB">
        <w:rPr>
          <w:color w:val="000000" w:themeColor="text1"/>
        </w:rPr>
        <w:t xml:space="preserve"> në plotësimin e pyetësorit të Bankës Botërore për të cilat janë kërkuar të dhëna lidhur me aksesin në informacion dhe parashikimet e ligjit për LDI.  . </w:t>
      </w:r>
    </w:p>
    <w:p w:rsidR="00B6049A" w:rsidRPr="006A2BAB" w:rsidRDefault="00B6049A" w:rsidP="00276C7D">
      <w:pPr>
        <w:spacing w:after="80" w:line="276" w:lineRule="auto"/>
        <w:ind w:right="144"/>
        <w:jc w:val="both"/>
        <w:rPr>
          <w:color w:val="000000" w:themeColor="text1"/>
        </w:rPr>
      </w:pPr>
      <w:r w:rsidRPr="006A2BAB">
        <w:rPr>
          <w:color w:val="000000" w:themeColor="text1"/>
        </w:rPr>
        <w:t>Zyra e Komisionerit për periudhën janar-</w:t>
      </w:r>
      <w:r w:rsidR="00BF3358" w:rsidRPr="006A2BAB">
        <w:rPr>
          <w:color w:val="000000" w:themeColor="text1"/>
        </w:rPr>
        <w:t xml:space="preserve">Gusht </w:t>
      </w:r>
      <w:r w:rsidRPr="006A2BAB">
        <w:rPr>
          <w:color w:val="000000" w:themeColor="text1"/>
        </w:rPr>
        <w:t xml:space="preserve">ka publikuar </w:t>
      </w:r>
      <w:r w:rsidR="00BF3358" w:rsidRPr="006A2BAB">
        <w:rPr>
          <w:color w:val="000000" w:themeColor="text1"/>
        </w:rPr>
        <w:t>8</w:t>
      </w:r>
      <w:r w:rsidRPr="006A2BAB">
        <w:rPr>
          <w:color w:val="000000" w:themeColor="text1"/>
        </w:rPr>
        <w:t xml:space="preserve"> newsletter mujor “E drejta për informim”. </w:t>
      </w:r>
    </w:p>
    <w:p w:rsidR="00AE7FED" w:rsidRPr="006A2BAB" w:rsidRDefault="00B6049A" w:rsidP="00000F0F">
      <w:pPr>
        <w:spacing w:after="80" w:line="276" w:lineRule="auto"/>
        <w:ind w:right="144"/>
        <w:jc w:val="both"/>
      </w:pPr>
      <w:r w:rsidRPr="006A2BAB">
        <w:t xml:space="preserve">Gjatë periudhës </w:t>
      </w:r>
      <w:r w:rsidR="00560291" w:rsidRPr="006A2BAB">
        <w:t xml:space="preserve">se raportimit, </w:t>
      </w:r>
      <w:r w:rsidRPr="006A2BAB">
        <w:t xml:space="preserve"> Zyra e Komisionerit ka vijuar me angazhimin dhe kontributin e saj në fushën e bashkëpunimit ndërkombëtar ku ka marrë pjesë në </w:t>
      </w:r>
      <w:r w:rsidR="00BF3358" w:rsidRPr="006A2BAB">
        <w:t>6</w:t>
      </w:r>
      <w:r w:rsidRPr="006A2BAB">
        <w:t xml:space="preserve"> takime online të Komitetit Ekzekutiv të Konferencës Ndërkombëtare të Komisionerëve të Informimit, në cilësinë e anëtarit që prej vitit 2021</w:t>
      </w:r>
      <w:r w:rsidR="00BF3358" w:rsidRPr="006A2BAB">
        <w:t>. Zyra e KDIMDP ka marrë pjesë aktive në disa takime të grupeve të punës te ICIC ku merr pjesë në cilësinë e anëtarit       ( Komiteti i Planifikimit t</w:t>
      </w:r>
      <w:r w:rsidR="00B538F4" w:rsidRPr="006A2BAB">
        <w:t>ë</w:t>
      </w:r>
      <w:r w:rsidR="00BF3358" w:rsidRPr="006A2BAB">
        <w:t xml:space="preserve"> Konferenc</w:t>
      </w:r>
      <w:r w:rsidR="00B538F4" w:rsidRPr="006A2BAB">
        <w:t>ë</w:t>
      </w:r>
      <w:r w:rsidR="00BF3358" w:rsidRPr="006A2BAB">
        <w:t xml:space="preserve">s ICIC).  </w:t>
      </w:r>
      <w:r w:rsidR="00840619" w:rsidRPr="006A2BAB">
        <w:t xml:space="preserve"> </w:t>
      </w:r>
    </w:p>
    <w:p w:rsidR="00B6049A" w:rsidRPr="006A2BAB" w:rsidRDefault="00560291" w:rsidP="00B6049A">
      <w:pPr>
        <w:jc w:val="both"/>
      </w:pPr>
      <w:r w:rsidRPr="006A2BAB">
        <w:t>K</w:t>
      </w:r>
      <w:r w:rsidR="00B6049A" w:rsidRPr="006A2BAB">
        <w:t xml:space="preserve">oordinuar </w:t>
      </w:r>
      <w:r w:rsidRPr="006A2BAB">
        <w:t xml:space="preserve">edhe </w:t>
      </w:r>
      <w:r w:rsidR="00B6049A" w:rsidRPr="006A2BAB">
        <w:t xml:space="preserve">me Ministrinë e Drejtësisë, </w:t>
      </w:r>
      <w:r w:rsidRPr="006A2BAB">
        <w:t xml:space="preserve">Zyra e Komisonerit </w:t>
      </w:r>
      <w:r w:rsidR="00B6049A" w:rsidRPr="006A2BAB">
        <w:t>kanë organizuar takimin konsultativ për diskutimin e projektligjit “</w:t>
      </w:r>
      <w:r w:rsidR="00B6049A" w:rsidRPr="006A2BAB">
        <w:rPr>
          <w:iCs/>
        </w:rPr>
        <w:t>Për disa shtesa dhe ndryshime në ligjin 119/2014 “Për të drejtën e informimit</w:t>
      </w:r>
      <w:r w:rsidR="00B6049A" w:rsidRPr="006A2BAB">
        <w:t xml:space="preserve">”, në të cilin morën pjesë përfaqësues nga media, shoqëria civile, koordinatorë për të drejtën e informimit </w:t>
      </w:r>
      <w:r w:rsidR="00840619" w:rsidRPr="006A2BAB">
        <w:t>, i cili aktualisht u miratua në Kuvend.</w:t>
      </w:r>
    </w:p>
    <w:p w:rsidR="00840619" w:rsidRPr="006A2BAB" w:rsidRDefault="00840619" w:rsidP="00B6049A">
      <w:pPr>
        <w:jc w:val="both"/>
      </w:pPr>
      <w:r w:rsidRPr="006A2BAB">
        <w:t xml:space="preserve">Pjesëmarrje/përfaqësime  në mjaft  aktivitete  të tjera brenda dhe jashtë vendit </w:t>
      </w:r>
    </w:p>
    <w:p w:rsidR="00B6049A" w:rsidRPr="006A2BAB" w:rsidRDefault="00B6049A" w:rsidP="00B6049A">
      <w:pPr>
        <w:jc w:val="both"/>
      </w:pPr>
    </w:p>
    <w:p w:rsidR="00B6049A" w:rsidRPr="006A2BAB" w:rsidRDefault="00B6049A" w:rsidP="00B6049A">
      <w:pPr>
        <w:jc w:val="both"/>
      </w:pPr>
      <w:r w:rsidRPr="006A2BAB">
        <w:t xml:space="preserve"> </w:t>
      </w:r>
      <w:r w:rsidRPr="006A2BAB">
        <w:rPr>
          <w:color w:val="000000" w:themeColor="text1"/>
        </w:rPr>
        <w:t xml:space="preserve"> </w:t>
      </w:r>
    </w:p>
    <w:p w:rsidR="00AE7FED" w:rsidRPr="006A2BAB" w:rsidRDefault="00AE7FED" w:rsidP="00000F0F">
      <w:pPr>
        <w:spacing w:after="40" w:line="276" w:lineRule="auto"/>
        <w:jc w:val="both"/>
        <w:rPr>
          <w:b/>
        </w:rPr>
      </w:pPr>
      <w:r w:rsidRPr="006A2BAB">
        <w:rPr>
          <w:b/>
        </w:rPr>
        <w:t xml:space="preserve">MBROJTJA E TË DHËNAVE PERSONALE </w:t>
      </w:r>
    </w:p>
    <w:p w:rsidR="00AE7FED" w:rsidRPr="006A2BAB" w:rsidRDefault="00AE7FED" w:rsidP="00000F0F">
      <w:pPr>
        <w:spacing w:after="40" w:line="276" w:lineRule="auto"/>
        <w:jc w:val="both"/>
        <w:rPr>
          <w:b/>
        </w:rPr>
      </w:pPr>
    </w:p>
    <w:p w:rsidR="00AE7FED" w:rsidRPr="006A2BAB" w:rsidRDefault="00AE7FED" w:rsidP="00000F0F">
      <w:pPr>
        <w:pStyle w:val="BodyText"/>
        <w:numPr>
          <w:ilvl w:val="0"/>
          <w:numId w:val="3"/>
        </w:numPr>
        <w:spacing w:after="0" w:line="276" w:lineRule="auto"/>
        <w:jc w:val="both"/>
        <w:rPr>
          <w:b/>
        </w:rPr>
      </w:pPr>
      <w:r w:rsidRPr="006A2BAB">
        <w:rPr>
          <w:rFonts w:eastAsia="Batang"/>
          <w:b/>
        </w:rPr>
        <w:lastRenderedPageBreak/>
        <w:t xml:space="preserve">Nënprodukti C: </w:t>
      </w:r>
      <w:r w:rsidRPr="006A2BAB">
        <w:rPr>
          <w:b/>
        </w:rPr>
        <w:t>Mbikëqyrje dhe inspektime, i ndryshuar, (Inspektime m</w:t>
      </w:r>
      <w:r w:rsidR="004A7BBA" w:rsidRPr="006A2BAB">
        <w:rPr>
          <w:b/>
        </w:rPr>
        <w:t>bi bazë ankese dhe kryesisht +-</w:t>
      </w:r>
      <w:r w:rsidR="00836746" w:rsidRPr="006A2BAB">
        <w:rPr>
          <w:b/>
        </w:rPr>
        <w:t>50</w:t>
      </w:r>
      <w:r w:rsidRPr="006A2BAB">
        <w:rPr>
          <w:b/>
        </w:rPr>
        <w:t xml:space="preserve">), </w:t>
      </w:r>
      <w:r w:rsidR="00FA4FDF" w:rsidRPr="006A2BAB">
        <w:rPr>
          <w:b/>
        </w:rPr>
        <w:t xml:space="preserve"> </w:t>
      </w:r>
    </w:p>
    <w:p w:rsidR="000151E0" w:rsidRPr="006A2BAB" w:rsidRDefault="000151E0" w:rsidP="000151E0">
      <w:pPr>
        <w:pStyle w:val="BodyText"/>
        <w:spacing w:after="0" w:line="276" w:lineRule="auto"/>
        <w:jc w:val="both"/>
        <w:rPr>
          <w:b/>
        </w:rPr>
      </w:pPr>
    </w:p>
    <w:p w:rsidR="000151E0" w:rsidRPr="006A2BAB" w:rsidRDefault="00640CE0" w:rsidP="00640CE0">
      <w:pPr>
        <w:spacing w:after="200" w:line="276" w:lineRule="auto"/>
        <w:jc w:val="both"/>
      </w:pPr>
      <w:r w:rsidRPr="006A2BAB">
        <w:rPr>
          <w:rFonts w:eastAsia="Calibri"/>
        </w:rPr>
        <w:t xml:space="preserve">Për këtë periudhë janë realizuar </w:t>
      </w:r>
      <w:r w:rsidRPr="006A2BAB">
        <w:rPr>
          <w:rFonts w:eastAsia="Calibri"/>
          <w:b/>
        </w:rPr>
        <w:t>32</w:t>
      </w:r>
      <w:r w:rsidRPr="006A2BAB">
        <w:rPr>
          <w:rFonts w:eastAsia="Calibri"/>
        </w:rPr>
        <w:t xml:space="preserve"> </w:t>
      </w:r>
      <w:r w:rsidRPr="006A2BAB">
        <w:rPr>
          <w:rFonts w:eastAsia="Calibri"/>
          <w:b/>
        </w:rPr>
        <w:t>hetime administrative</w:t>
      </w:r>
      <w:r w:rsidRPr="006A2BAB">
        <w:rPr>
          <w:rFonts w:eastAsia="Calibri"/>
        </w:rPr>
        <w:t xml:space="preserve"> në terren </w:t>
      </w:r>
      <w:r w:rsidRPr="006A2BAB">
        <w:rPr>
          <w:lang w:eastAsia="en-GB"/>
        </w:rPr>
        <w:t>në kontrollues publik (8) dhe privat (24) .</w:t>
      </w:r>
      <w:r w:rsidRPr="006A2BAB">
        <w:rPr>
          <w:b/>
          <w:lang w:eastAsia="en-GB"/>
        </w:rPr>
        <w:t xml:space="preserve"> </w:t>
      </w:r>
      <w:r w:rsidRPr="006A2BAB">
        <w:t xml:space="preserve">Inspektimet janë iniciuar si në bazë të ankesave (13), por dhe edhe nga vetë Zyra e Komisionerit (19) </w:t>
      </w:r>
      <w:r w:rsidRPr="006A2BAB">
        <w:rPr>
          <w:lang w:eastAsia="en-GB"/>
        </w:rPr>
        <w:t xml:space="preserve">në kuadër të verifikimit të ligjshmërisë së përpunimit të të dhënave personale në zbatim të ligjit nr. 9887, datë 10.03.2008 “Për mbrojtjen e të dhënave personale” i ndryshuar. </w:t>
      </w:r>
    </w:p>
    <w:p w:rsidR="000151E0" w:rsidRPr="006A2BAB" w:rsidRDefault="000151E0" w:rsidP="00FA4FDF">
      <w:pPr>
        <w:spacing w:line="276" w:lineRule="auto"/>
        <w:jc w:val="both"/>
        <w:rPr>
          <w:color w:val="0D0D0D" w:themeColor="text1" w:themeTint="F2"/>
        </w:rPr>
      </w:pPr>
      <w:r w:rsidRPr="006A2BAB">
        <w:rPr>
          <w:rFonts w:eastAsia="Calibri"/>
          <w:color w:val="0D0D0D" w:themeColor="text1" w:themeTint="F2"/>
        </w:rPr>
        <w:t xml:space="preserve">Synimi kryesor i hetimeve administrative ka qenë </w:t>
      </w:r>
      <w:r w:rsidRPr="006A2BAB">
        <w:rPr>
          <w:color w:val="0D0D0D" w:themeColor="text1" w:themeTint="F2"/>
        </w:rPr>
        <w:t xml:space="preserve">zbatimi i ligjit nr. 9887, datë 10.03.2008 “Për mbrojtjen e të dhënave personale”, i ndryshuar dhe akteve të miratuar nga Komisioneri në lidhje me mbledhjen përpunimin, ruajtjen dhe sigurinë e të dhënave personale. </w:t>
      </w:r>
    </w:p>
    <w:p w:rsidR="000151E0" w:rsidRPr="006A2BAB" w:rsidRDefault="00210078" w:rsidP="000151E0">
      <w:pPr>
        <w:pStyle w:val="ListParagraph"/>
        <w:numPr>
          <w:ilvl w:val="0"/>
          <w:numId w:val="21"/>
        </w:numPr>
        <w:jc w:val="both"/>
        <w:rPr>
          <w:rFonts w:ascii="Times New Roman" w:hAnsi="Times New Roman"/>
          <w:color w:val="0D0D0D" w:themeColor="text1" w:themeTint="F2"/>
          <w:sz w:val="24"/>
          <w:szCs w:val="24"/>
        </w:rPr>
      </w:pPr>
      <w:r w:rsidRPr="006A2BAB">
        <w:rPr>
          <w:rFonts w:ascii="Times New Roman" w:hAnsi="Times New Roman"/>
          <w:b/>
          <w:iCs/>
          <w:color w:val="0D0D0D" w:themeColor="text1" w:themeTint="F2"/>
          <w:sz w:val="24"/>
          <w:szCs w:val="24"/>
        </w:rPr>
        <w:t>Rekomandime/</w:t>
      </w:r>
      <w:r w:rsidR="000151E0" w:rsidRPr="006A2BAB">
        <w:rPr>
          <w:rFonts w:ascii="Times New Roman" w:hAnsi="Times New Roman"/>
          <w:b/>
          <w:iCs/>
          <w:color w:val="0D0D0D" w:themeColor="text1" w:themeTint="F2"/>
          <w:sz w:val="24"/>
          <w:szCs w:val="24"/>
        </w:rPr>
        <w:t>Vendime g</w:t>
      </w:r>
      <w:r w:rsidRPr="006A2BAB">
        <w:rPr>
          <w:rFonts w:ascii="Times New Roman" w:hAnsi="Times New Roman"/>
          <w:b/>
          <w:iCs/>
          <w:color w:val="0D0D0D" w:themeColor="text1" w:themeTint="F2"/>
          <w:sz w:val="24"/>
          <w:szCs w:val="24"/>
        </w:rPr>
        <w:t>jobe /sanksione administrative/</w:t>
      </w:r>
      <w:r w:rsidR="000151E0" w:rsidRPr="006A2BAB">
        <w:rPr>
          <w:rFonts w:ascii="Times New Roman" w:hAnsi="Times New Roman"/>
          <w:b/>
          <w:iCs/>
          <w:color w:val="0D0D0D" w:themeColor="text1" w:themeTint="F2"/>
          <w:sz w:val="24"/>
          <w:szCs w:val="24"/>
        </w:rPr>
        <w:t>urdhra/Seanca dëgjimore</w:t>
      </w:r>
    </w:p>
    <w:p w:rsidR="00640CE0" w:rsidRPr="006A2BAB" w:rsidRDefault="00640CE0" w:rsidP="00640CE0">
      <w:pPr>
        <w:spacing w:after="120" w:line="276" w:lineRule="auto"/>
        <w:jc w:val="both"/>
        <w:rPr>
          <w:rFonts w:eastAsia="Calibri"/>
        </w:rPr>
      </w:pPr>
      <w:r w:rsidRPr="006A2BAB">
        <w:rPr>
          <w:rFonts w:eastAsia="Calibri"/>
        </w:rPr>
        <w:t>Komisioneri në zbatim të kompetencave që i jep ligji nr. 9887/2008 “Për mbrojtjen e të dhënave personale” i ndryshuar, është shprehur me:</w:t>
      </w:r>
    </w:p>
    <w:p w:rsidR="00640CE0" w:rsidRPr="006A2BAB" w:rsidRDefault="00640CE0" w:rsidP="00640CE0">
      <w:pPr>
        <w:pStyle w:val="ListParagraph"/>
        <w:numPr>
          <w:ilvl w:val="0"/>
          <w:numId w:val="8"/>
        </w:numPr>
        <w:spacing w:after="120"/>
        <w:jc w:val="both"/>
        <w:rPr>
          <w:rFonts w:ascii="Times New Roman" w:hAnsi="Times New Roman"/>
          <w:b/>
          <w:sz w:val="24"/>
          <w:szCs w:val="24"/>
        </w:rPr>
      </w:pPr>
      <w:r w:rsidRPr="006A2BAB">
        <w:rPr>
          <w:rFonts w:ascii="Times New Roman" w:hAnsi="Times New Roman"/>
          <w:b/>
          <w:sz w:val="24"/>
          <w:szCs w:val="24"/>
        </w:rPr>
        <w:t>17 Rekomandime;</w:t>
      </w:r>
    </w:p>
    <w:p w:rsidR="00640CE0" w:rsidRPr="006A2BAB" w:rsidRDefault="00640CE0" w:rsidP="00640CE0">
      <w:pPr>
        <w:pStyle w:val="ListParagraph"/>
        <w:numPr>
          <w:ilvl w:val="0"/>
          <w:numId w:val="8"/>
        </w:numPr>
        <w:spacing w:after="120"/>
        <w:jc w:val="both"/>
        <w:rPr>
          <w:rFonts w:ascii="Times New Roman" w:hAnsi="Times New Roman"/>
          <w:sz w:val="24"/>
          <w:szCs w:val="24"/>
        </w:rPr>
      </w:pPr>
      <w:r w:rsidRPr="006A2BAB">
        <w:rPr>
          <w:rFonts w:ascii="Times New Roman" w:hAnsi="Times New Roman"/>
          <w:b/>
          <w:sz w:val="24"/>
          <w:szCs w:val="24"/>
        </w:rPr>
        <w:t>1</w:t>
      </w:r>
      <w:r w:rsidRPr="006A2BAB">
        <w:rPr>
          <w:rFonts w:ascii="Times New Roman" w:hAnsi="Times New Roman"/>
          <w:sz w:val="24"/>
          <w:szCs w:val="24"/>
        </w:rPr>
        <w:t xml:space="preserve"> </w:t>
      </w:r>
      <w:r w:rsidRPr="006A2BAB">
        <w:rPr>
          <w:rFonts w:ascii="Times New Roman" w:hAnsi="Times New Roman"/>
          <w:b/>
          <w:sz w:val="24"/>
          <w:szCs w:val="24"/>
        </w:rPr>
        <w:t>Urdh</w:t>
      </w:r>
      <w:r w:rsidR="00210078" w:rsidRPr="006A2BAB">
        <w:rPr>
          <w:rFonts w:ascii="Times New Roman" w:hAnsi="Times New Roman"/>
          <w:b/>
          <w:sz w:val="24"/>
          <w:szCs w:val="24"/>
        </w:rPr>
        <w:t>ë</w:t>
      </w:r>
      <w:r w:rsidRPr="006A2BAB">
        <w:rPr>
          <w:rFonts w:ascii="Times New Roman" w:hAnsi="Times New Roman"/>
          <w:b/>
          <w:sz w:val="24"/>
          <w:szCs w:val="24"/>
        </w:rPr>
        <w:t>r</w:t>
      </w:r>
      <w:r w:rsidRPr="006A2BAB">
        <w:rPr>
          <w:rFonts w:ascii="Times New Roman" w:hAnsi="Times New Roman"/>
          <w:sz w:val="24"/>
          <w:szCs w:val="24"/>
        </w:rPr>
        <w:t xml:space="preserve"> per fshirjen e të dhënave personale;</w:t>
      </w:r>
    </w:p>
    <w:p w:rsidR="000151E0" w:rsidRPr="006A2BAB" w:rsidRDefault="00640CE0" w:rsidP="00640CE0">
      <w:pPr>
        <w:pStyle w:val="ListParagraph"/>
        <w:numPr>
          <w:ilvl w:val="0"/>
          <w:numId w:val="8"/>
        </w:numPr>
        <w:spacing w:after="120"/>
        <w:jc w:val="both"/>
        <w:rPr>
          <w:rFonts w:ascii="Times New Roman" w:hAnsi="Times New Roman"/>
          <w:sz w:val="24"/>
          <w:szCs w:val="24"/>
        </w:rPr>
      </w:pPr>
      <w:r w:rsidRPr="006A2BAB">
        <w:rPr>
          <w:rFonts w:ascii="Times New Roman" w:hAnsi="Times New Roman"/>
          <w:b/>
          <w:sz w:val="24"/>
          <w:szCs w:val="24"/>
        </w:rPr>
        <w:t>13</w:t>
      </w:r>
      <w:r w:rsidRPr="006A2BAB">
        <w:rPr>
          <w:rFonts w:ascii="Times New Roman" w:hAnsi="Times New Roman"/>
          <w:sz w:val="24"/>
          <w:szCs w:val="24"/>
        </w:rPr>
        <w:t xml:space="preserve"> </w:t>
      </w:r>
      <w:r w:rsidRPr="006A2BAB">
        <w:rPr>
          <w:rFonts w:ascii="Times New Roman" w:hAnsi="Times New Roman"/>
          <w:b/>
          <w:sz w:val="24"/>
          <w:szCs w:val="24"/>
        </w:rPr>
        <w:t>Vendime</w:t>
      </w:r>
      <w:r w:rsidRPr="006A2BAB">
        <w:rPr>
          <w:rFonts w:ascii="Times New Roman" w:hAnsi="Times New Roman"/>
          <w:color w:val="FF0000"/>
          <w:sz w:val="24"/>
          <w:szCs w:val="24"/>
        </w:rPr>
        <w:t xml:space="preserve"> </w:t>
      </w:r>
      <w:r w:rsidRPr="006A2BAB">
        <w:rPr>
          <w:rFonts w:ascii="Times New Roman" w:hAnsi="Times New Roman"/>
          <w:sz w:val="24"/>
          <w:szCs w:val="24"/>
        </w:rPr>
        <w:t xml:space="preserve">gjobe që korrespondojnë me </w:t>
      </w:r>
      <w:r w:rsidRPr="006A2BAB">
        <w:rPr>
          <w:rFonts w:ascii="Times New Roman" w:hAnsi="Times New Roman"/>
          <w:b/>
          <w:sz w:val="24"/>
          <w:szCs w:val="24"/>
        </w:rPr>
        <w:t xml:space="preserve">37 </w:t>
      </w:r>
      <w:r w:rsidRPr="006A2BAB">
        <w:rPr>
          <w:rFonts w:ascii="Times New Roman" w:hAnsi="Times New Roman"/>
          <w:sz w:val="24"/>
          <w:szCs w:val="24"/>
        </w:rPr>
        <w:t>sanksione administrative</w:t>
      </w:r>
    </w:p>
    <w:p w:rsidR="00640CE0" w:rsidRPr="006A2BAB" w:rsidRDefault="00640CE0" w:rsidP="00210078">
      <w:pPr>
        <w:pStyle w:val="ListParagraph"/>
        <w:numPr>
          <w:ilvl w:val="0"/>
          <w:numId w:val="8"/>
        </w:numPr>
        <w:spacing w:after="120"/>
        <w:jc w:val="both"/>
        <w:rPr>
          <w:rFonts w:ascii="Times New Roman" w:hAnsi="Times New Roman"/>
          <w:sz w:val="24"/>
          <w:szCs w:val="24"/>
        </w:rPr>
      </w:pPr>
      <w:r w:rsidRPr="006A2BAB">
        <w:rPr>
          <w:rFonts w:ascii="Times New Roman" w:hAnsi="Times New Roman"/>
          <w:sz w:val="24"/>
          <w:szCs w:val="24"/>
        </w:rPr>
        <w:t xml:space="preserve">Janë zhvilluar </w:t>
      </w:r>
      <w:r w:rsidRPr="006A2BAB">
        <w:rPr>
          <w:rFonts w:ascii="Times New Roman" w:hAnsi="Times New Roman"/>
          <w:b/>
          <w:sz w:val="24"/>
          <w:szCs w:val="24"/>
        </w:rPr>
        <w:t>26 seanca dëgjimore</w:t>
      </w:r>
      <w:r w:rsidRPr="006A2BAB">
        <w:rPr>
          <w:rFonts w:ascii="Times New Roman" w:hAnsi="Times New Roman"/>
          <w:sz w:val="24"/>
          <w:szCs w:val="24"/>
        </w:rPr>
        <w:t>, pas përfundimit të hetimeve administrative</w:t>
      </w:r>
      <w:r w:rsidRPr="006A2BAB">
        <w:rPr>
          <w:rFonts w:ascii="Times New Roman" w:hAnsi="Times New Roman"/>
          <w:color w:val="0D0D0D" w:themeColor="text1" w:themeTint="F2"/>
          <w:sz w:val="24"/>
          <w:szCs w:val="24"/>
        </w:rPr>
        <w:t xml:space="preserve"> </w:t>
      </w:r>
    </w:p>
    <w:p w:rsidR="000151E0" w:rsidRPr="006A2BAB" w:rsidRDefault="000151E0" w:rsidP="00210078">
      <w:pPr>
        <w:pStyle w:val="ListParagraph"/>
        <w:numPr>
          <w:ilvl w:val="0"/>
          <w:numId w:val="8"/>
        </w:numPr>
        <w:spacing w:after="120"/>
        <w:jc w:val="both"/>
        <w:rPr>
          <w:rFonts w:ascii="Times New Roman" w:hAnsi="Times New Roman"/>
          <w:sz w:val="24"/>
          <w:szCs w:val="24"/>
        </w:rPr>
      </w:pPr>
      <w:r w:rsidRPr="006A2BAB">
        <w:rPr>
          <w:rFonts w:ascii="Times New Roman" w:hAnsi="Times New Roman"/>
          <w:color w:val="0D0D0D" w:themeColor="text1" w:themeTint="F2"/>
          <w:sz w:val="24"/>
          <w:szCs w:val="24"/>
        </w:rPr>
        <w:t>Hetimet e tjera janë ende në proces.</w:t>
      </w:r>
    </w:p>
    <w:p w:rsidR="00640CE0" w:rsidRPr="006A2BAB" w:rsidRDefault="00640CE0" w:rsidP="00640CE0">
      <w:pPr>
        <w:pStyle w:val="ListParagraph"/>
        <w:numPr>
          <w:ilvl w:val="0"/>
          <w:numId w:val="21"/>
        </w:numPr>
        <w:jc w:val="both"/>
        <w:rPr>
          <w:rFonts w:ascii="Times New Roman" w:eastAsia="Times New Roman" w:hAnsi="Times New Roman"/>
          <w:b/>
          <w:sz w:val="24"/>
          <w:szCs w:val="24"/>
        </w:rPr>
      </w:pPr>
      <w:r w:rsidRPr="006A2BAB">
        <w:rPr>
          <w:rFonts w:ascii="Times New Roman" w:eastAsia="Times New Roman" w:hAnsi="Times New Roman"/>
          <w:b/>
          <w:sz w:val="24"/>
          <w:szCs w:val="24"/>
        </w:rPr>
        <w:t>Dhënie mendimi për projektligje/projektvendime/Opinione ligjore</w:t>
      </w:r>
    </w:p>
    <w:p w:rsidR="00640CE0" w:rsidRPr="006A2BAB" w:rsidRDefault="00640CE0" w:rsidP="00640CE0">
      <w:pPr>
        <w:spacing w:line="276" w:lineRule="auto"/>
        <w:jc w:val="both"/>
      </w:pPr>
      <w:r w:rsidRPr="006A2BAB">
        <w:rPr>
          <w:rFonts w:eastAsia="Calibri"/>
        </w:rPr>
        <w:t>Zyra e Komisionerit ka dhënë</w:t>
      </w:r>
      <w:r w:rsidRPr="006A2BAB">
        <w:rPr>
          <w:rFonts w:eastAsia="Calibri"/>
          <w:b/>
        </w:rPr>
        <w:t xml:space="preserve"> </w:t>
      </w:r>
      <w:r w:rsidRPr="006A2BAB">
        <w:rPr>
          <w:rFonts w:eastAsia="Calibri"/>
        </w:rPr>
        <w:t>mendime ligjore për</w:t>
      </w:r>
      <w:r w:rsidRPr="006A2BAB">
        <w:t xml:space="preserve">; </w:t>
      </w:r>
    </w:p>
    <w:p w:rsidR="00640CE0" w:rsidRPr="006A2BAB" w:rsidRDefault="00640CE0" w:rsidP="00640CE0">
      <w:pPr>
        <w:pStyle w:val="ListParagraph"/>
        <w:numPr>
          <w:ilvl w:val="0"/>
          <w:numId w:val="22"/>
        </w:numPr>
        <w:spacing w:after="160"/>
        <w:jc w:val="both"/>
        <w:rPr>
          <w:rFonts w:ascii="Times New Roman" w:hAnsi="Times New Roman"/>
          <w:sz w:val="24"/>
          <w:szCs w:val="24"/>
        </w:rPr>
      </w:pPr>
      <w:r w:rsidRPr="006A2BAB">
        <w:rPr>
          <w:rFonts w:ascii="Times New Roman" w:eastAsia="Times New Roman" w:hAnsi="Times New Roman"/>
          <w:b/>
          <w:sz w:val="24"/>
          <w:szCs w:val="24"/>
        </w:rPr>
        <w:t>4</w:t>
      </w:r>
      <w:r w:rsidRPr="006A2BAB">
        <w:rPr>
          <w:rFonts w:ascii="Times New Roman" w:eastAsia="Times New Roman" w:hAnsi="Times New Roman"/>
          <w:sz w:val="24"/>
          <w:szCs w:val="24"/>
        </w:rPr>
        <w:t xml:space="preserve"> projekt-vendim; </w:t>
      </w:r>
    </w:p>
    <w:p w:rsidR="00640CE0" w:rsidRPr="006A2BAB" w:rsidRDefault="00640CE0" w:rsidP="00640CE0">
      <w:pPr>
        <w:pStyle w:val="ListParagraph"/>
        <w:numPr>
          <w:ilvl w:val="0"/>
          <w:numId w:val="22"/>
        </w:numPr>
        <w:spacing w:after="160"/>
        <w:jc w:val="both"/>
        <w:rPr>
          <w:rFonts w:ascii="Times New Roman" w:eastAsia="Times New Roman" w:hAnsi="Times New Roman"/>
          <w:sz w:val="24"/>
          <w:szCs w:val="24"/>
        </w:rPr>
      </w:pPr>
      <w:r w:rsidRPr="006A2BAB">
        <w:rPr>
          <w:rFonts w:ascii="Times New Roman" w:eastAsia="Times New Roman" w:hAnsi="Times New Roman"/>
          <w:b/>
          <w:sz w:val="24"/>
          <w:szCs w:val="24"/>
        </w:rPr>
        <w:t>8</w:t>
      </w:r>
      <w:r w:rsidRPr="006A2BAB">
        <w:rPr>
          <w:rFonts w:ascii="Times New Roman" w:eastAsia="Times New Roman" w:hAnsi="Times New Roman"/>
          <w:sz w:val="24"/>
          <w:szCs w:val="24"/>
        </w:rPr>
        <w:t xml:space="preserve"> projekt-ligje;</w:t>
      </w:r>
    </w:p>
    <w:p w:rsidR="000151E0" w:rsidRPr="006A2BAB" w:rsidRDefault="00640CE0" w:rsidP="00640CE0">
      <w:pPr>
        <w:pStyle w:val="ListParagraph"/>
        <w:numPr>
          <w:ilvl w:val="0"/>
          <w:numId w:val="22"/>
        </w:numPr>
        <w:spacing w:after="160"/>
        <w:jc w:val="both"/>
        <w:rPr>
          <w:rFonts w:ascii="Times New Roman" w:eastAsia="Times New Roman" w:hAnsi="Times New Roman"/>
          <w:sz w:val="24"/>
          <w:szCs w:val="24"/>
        </w:rPr>
      </w:pPr>
      <w:r w:rsidRPr="006A2BAB">
        <w:rPr>
          <w:rFonts w:ascii="Times New Roman" w:hAnsi="Times New Roman"/>
          <w:b/>
          <w:sz w:val="24"/>
          <w:szCs w:val="24"/>
        </w:rPr>
        <w:t xml:space="preserve">30 </w:t>
      </w:r>
      <w:r w:rsidRPr="006A2BAB">
        <w:rPr>
          <w:rFonts w:ascii="Times New Roman" w:hAnsi="Times New Roman"/>
          <w:sz w:val="24"/>
          <w:szCs w:val="24"/>
        </w:rPr>
        <w:t>opinione ligjore të paraqitura nga kontrollues publik e privat.</w:t>
      </w:r>
    </w:p>
    <w:p w:rsidR="000151E0" w:rsidRPr="006A2BAB" w:rsidRDefault="000151E0" w:rsidP="000151E0">
      <w:pPr>
        <w:numPr>
          <w:ilvl w:val="0"/>
          <w:numId w:val="37"/>
        </w:numPr>
        <w:spacing w:before="240" w:line="276" w:lineRule="auto"/>
        <w:contextualSpacing/>
        <w:jc w:val="both"/>
        <w:rPr>
          <w:rFonts w:eastAsia="Batang"/>
          <w:b/>
          <w:color w:val="0D0D0D" w:themeColor="text1" w:themeTint="F2"/>
          <w:lang w:eastAsia="ko-KR"/>
        </w:rPr>
      </w:pPr>
      <w:r w:rsidRPr="006A2BAB">
        <w:rPr>
          <w:rFonts w:eastAsia="Batang"/>
          <w:b/>
          <w:color w:val="0D0D0D" w:themeColor="text1" w:themeTint="F2"/>
          <w:lang w:eastAsia="ko-KR"/>
        </w:rPr>
        <w:t>Transferimi ndërkombëtar</w:t>
      </w:r>
    </w:p>
    <w:p w:rsidR="000151E0" w:rsidRPr="006A2BAB" w:rsidRDefault="000151E0" w:rsidP="000151E0">
      <w:pPr>
        <w:jc w:val="both"/>
        <w:rPr>
          <w:color w:val="0D0D0D" w:themeColor="text1" w:themeTint="F2"/>
        </w:rPr>
      </w:pPr>
    </w:p>
    <w:p w:rsidR="00640CE0" w:rsidRPr="006A2BAB" w:rsidRDefault="00640CE0" w:rsidP="00640CE0">
      <w:pPr>
        <w:spacing w:line="276" w:lineRule="auto"/>
        <w:jc w:val="both"/>
        <w:rPr>
          <w:b/>
        </w:rPr>
      </w:pPr>
      <w:r w:rsidRPr="006A2BAB">
        <w:t>Zyra e Komisionerit trajtoi 8 praktika për autorizimin e transferimit në disa shtete pa nivel të mjaftueshëm të mbrojtjes së të dhënave personale.</w:t>
      </w:r>
    </w:p>
    <w:p w:rsidR="000151E0" w:rsidRPr="006A2BAB" w:rsidRDefault="000151E0" w:rsidP="000151E0">
      <w:pPr>
        <w:spacing w:line="276" w:lineRule="auto"/>
        <w:contextualSpacing/>
        <w:jc w:val="both"/>
        <w:rPr>
          <w:rFonts w:eastAsia="Batang"/>
          <w:b/>
          <w:color w:val="0D0D0D" w:themeColor="text1" w:themeTint="F2"/>
          <w:lang w:eastAsia="ko-KR"/>
        </w:rPr>
      </w:pPr>
    </w:p>
    <w:p w:rsidR="000151E0" w:rsidRPr="006A2BAB" w:rsidRDefault="000151E0" w:rsidP="000151E0">
      <w:pPr>
        <w:numPr>
          <w:ilvl w:val="0"/>
          <w:numId w:val="37"/>
        </w:numPr>
        <w:spacing w:line="276" w:lineRule="auto"/>
        <w:contextualSpacing/>
        <w:jc w:val="both"/>
        <w:rPr>
          <w:rFonts w:eastAsia="Batang"/>
          <w:b/>
          <w:color w:val="0D0D0D" w:themeColor="text1" w:themeTint="F2"/>
          <w:lang w:eastAsia="ko-KR"/>
        </w:rPr>
      </w:pPr>
      <w:r w:rsidRPr="006A2BAB">
        <w:rPr>
          <w:rFonts w:eastAsia="Batang"/>
          <w:b/>
          <w:color w:val="0D0D0D" w:themeColor="text1" w:themeTint="F2"/>
          <w:lang w:eastAsia="ko-KR"/>
        </w:rPr>
        <w:t>Njoftimi/regjistrimi i kontrolluesve</w:t>
      </w:r>
    </w:p>
    <w:p w:rsidR="000151E0" w:rsidRPr="006A2BAB" w:rsidRDefault="000151E0" w:rsidP="000151E0">
      <w:pPr>
        <w:spacing w:line="276" w:lineRule="auto"/>
        <w:ind w:left="720"/>
        <w:contextualSpacing/>
        <w:jc w:val="both"/>
        <w:rPr>
          <w:rFonts w:eastAsia="Batang"/>
          <w:b/>
          <w:color w:val="0D0D0D" w:themeColor="text1" w:themeTint="F2"/>
          <w:lang w:eastAsia="ko-KR"/>
        </w:rPr>
      </w:pPr>
    </w:p>
    <w:p w:rsidR="009B0295" w:rsidRPr="006A2BAB" w:rsidRDefault="00640CE0" w:rsidP="00FA4FDF">
      <w:pPr>
        <w:spacing w:after="200" w:line="276" w:lineRule="auto"/>
        <w:jc w:val="both"/>
        <w:rPr>
          <w:rFonts w:eastAsia="Batang"/>
          <w:color w:val="0D0D0D" w:themeColor="text1" w:themeTint="F2"/>
          <w:lang w:val="de-DE" w:eastAsia="ko-KR"/>
        </w:rPr>
      </w:pPr>
      <w:r w:rsidRPr="006A2BAB">
        <w:rPr>
          <w:rFonts w:eastAsia="Batang"/>
          <w:lang w:val="de-DE" w:eastAsia="ko-KR"/>
        </w:rPr>
        <w:t>Në përmbushje të detyrimit ligjor për të njoftuar,</w:t>
      </w:r>
      <w:r w:rsidRPr="006A2BAB">
        <w:rPr>
          <w:rFonts w:eastAsia="Batang"/>
          <w:lang w:eastAsia="ko-KR"/>
        </w:rPr>
        <w:t xml:space="preserve"> kanë njoftuar </w:t>
      </w:r>
      <w:r w:rsidRPr="006A2BAB">
        <w:rPr>
          <w:rFonts w:eastAsia="Batang"/>
          <w:b/>
          <w:lang w:eastAsia="ko-KR"/>
        </w:rPr>
        <w:t xml:space="preserve">59 </w:t>
      </w:r>
      <w:r w:rsidRPr="006A2BAB">
        <w:rPr>
          <w:rFonts w:eastAsia="Batang"/>
          <w:lang w:eastAsia="ko-KR"/>
        </w:rPr>
        <w:t>subjekte kontrolluese.</w:t>
      </w:r>
      <w:r w:rsidRPr="006A2BAB">
        <w:rPr>
          <w:rFonts w:eastAsia="Batang"/>
          <w:lang w:eastAsia="fr-FR"/>
        </w:rPr>
        <w:t xml:space="preserve"> Numri i përgjithshëm i njoftimeve të përpunimeve nga kontrolluesit në territorin e Republikës së Shqipërisë deri tani ka arritur në </w:t>
      </w:r>
      <w:r w:rsidRPr="006A2BAB">
        <w:rPr>
          <w:rFonts w:eastAsia="Batang"/>
          <w:b/>
          <w:lang w:eastAsia="fr-FR"/>
        </w:rPr>
        <w:t>5</w:t>
      </w:r>
      <w:r w:rsidR="00210078" w:rsidRPr="006A2BAB">
        <w:rPr>
          <w:rFonts w:eastAsia="Batang"/>
          <w:b/>
          <w:lang w:eastAsia="fr-FR"/>
        </w:rPr>
        <w:t>.</w:t>
      </w:r>
      <w:r w:rsidRPr="006A2BAB">
        <w:rPr>
          <w:rFonts w:eastAsia="Batang"/>
          <w:b/>
          <w:lang w:eastAsia="fr-FR"/>
        </w:rPr>
        <w:t>944</w:t>
      </w:r>
    </w:p>
    <w:p w:rsidR="00AE7FED" w:rsidRPr="006A2BAB" w:rsidRDefault="00AE7FED" w:rsidP="00000F0F">
      <w:pPr>
        <w:spacing w:line="276" w:lineRule="auto"/>
        <w:jc w:val="both"/>
      </w:pPr>
      <w:r w:rsidRPr="006A2BAB">
        <w:rPr>
          <w:b/>
          <w:color w:val="0D0D0D" w:themeColor="text1" w:themeTint="F2"/>
        </w:rPr>
        <w:t>Nënprodukti</w:t>
      </w:r>
      <w:r w:rsidRPr="006A2BAB">
        <w:rPr>
          <w:b/>
        </w:rPr>
        <w:t xml:space="preserve"> C: (Inspektime mbi bazë ankese dhe kryesisht +- </w:t>
      </w:r>
      <w:r w:rsidR="001121FF" w:rsidRPr="006A2BAB">
        <w:rPr>
          <w:b/>
        </w:rPr>
        <w:t>50</w:t>
      </w:r>
      <w:r w:rsidRPr="006A2BAB">
        <w:rPr>
          <w:b/>
        </w:rPr>
        <w:t xml:space="preserve">), </w:t>
      </w:r>
      <w:r w:rsidR="00FA4FDF" w:rsidRPr="006A2BAB">
        <w:rPr>
          <w:b/>
        </w:rPr>
        <w:t xml:space="preserve"> </w:t>
      </w:r>
      <w:r w:rsidRPr="006A2BAB">
        <w:rPr>
          <w:b/>
        </w:rPr>
        <w:t xml:space="preserve"> </w:t>
      </w:r>
      <w:r w:rsidR="00836746" w:rsidRPr="006A2BAB">
        <w:rPr>
          <w:b/>
        </w:rPr>
        <w:t xml:space="preserve">jane realizuar </w:t>
      </w:r>
      <w:r w:rsidR="00640CE0" w:rsidRPr="006A2BAB">
        <w:rPr>
          <w:b/>
        </w:rPr>
        <w:t>32</w:t>
      </w:r>
      <w:r w:rsidR="00836746" w:rsidRPr="006A2BAB">
        <w:rPr>
          <w:b/>
        </w:rPr>
        <w:t xml:space="preserve">, </w:t>
      </w:r>
      <w:r w:rsidRPr="006A2BAB">
        <w:rPr>
          <w:b/>
        </w:rPr>
        <w:t xml:space="preserve"> </w:t>
      </w:r>
      <w:r w:rsidRPr="006A2BAB">
        <w:t xml:space="preserve">pa përfshirë veprime të tjera vendime, rekomandime, sanksione, urdhërime </w:t>
      </w:r>
      <w:r w:rsidR="00836746" w:rsidRPr="006A2BAB">
        <w:t xml:space="preserve">duke realizuar </w:t>
      </w:r>
      <w:r w:rsidRPr="006A2BAB">
        <w:t xml:space="preserve"> </w:t>
      </w:r>
      <w:r w:rsidR="00836746" w:rsidRPr="006A2BAB">
        <w:t xml:space="preserve">rreth </w:t>
      </w:r>
      <w:r w:rsidRPr="006A2BAB">
        <w:t xml:space="preserve"> </w:t>
      </w:r>
      <w:r w:rsidR="00640CE0" w:rsidRPr="006A2BAB">
        <w:t>64</w:t>
      </w:r>
      <w:r w:rsidR="00FA4FDF" w:rsidRPr="006A2BAB">
        <w:t xml:space="preserve"> %</w:t>
      </w:r>
      <w:r w:rsidRPr="006A2BAB">
        <w:t xml:space="preserve"> </w:t>
      </w:r>
      <w:r w:rsidR="00FA4FDF" w:rsidRPr="006A2BAB">
        <w:t xml:space="preserve"> </w:t>
      </w:r>
      <w:r w:rsidR="00836746" w:rsidRPr="006A2BAB">
        <w:t>të</w:t>
      </w:r>
      <w:r w:rsidR="00FA4FDF" w:rsidRPr="006A2BAB">
        <w:t xml:space="preserve"> numrit të</w:t>
      </w:r>
      <w:r w:rsidR="002A3C97" w:rsidRPr="006A2BAB">
        <w:t xml:space="preserve"> planifikuar</w:t>
      </w:r>
    </w:p>
    <w:p w:rsidR="00640CE0" w:rsidRPr="006A2BAB" w:rsidRDefault="00640CE0" w:rsidP="008663E7">
      <w:pPr>
        <w:spacing w:line="276" w:lineRule="auto"/>
        <w:jc w:val="both"/>
      </w:pPr>
      <w:r w:rsidRPr="006A2BAB">
        <w:t xml:space="preserve"> </w:t>
      </w:r>
      <w:r w:rsidR="008663E7" w:rsidRPr="006A2BAB">
        <w:rPr>
          <w:b/>
        </w:rPr>
        <w:t xml:space="preserve"> </w:t>
      </w:r>
    </w:p>
    <w:p w:rsidR="00AE7FED" w:rsidRPr="006A2BAB" w:rsidRDefault="00AE7FED" w:rsidP="00000F0F">
      <w:pPr>
        <w:spacing w:line="276" w:lineRule="auto"/>
        <w:jc w:val="both"/>
      </w:pPr>
    </w:p>
    <w:p w:rsidR="008663E7" w:rsidRPr="006A2BAB" w:rsidRDefault="008663E7" w:rsidP="00000F0F">
      <w:pPr>
        <w:spacing w:line="276" w:lineRule="auto"/>
        <w:jc w:val="both"/>
      </w:pPr>
    </w:p>
    <w:p w:rsidR="00AE7FED" w:rsidRPr="006A2BAB" w:rsidRDefault="00AE7FED" w:rsidP="00000F0F">
      <w:pPr>
        <w:spacing w:line="276" w:lineRule="auto"/>
        <w:jc w:val="both"/>
        <w:rPr>
          <w:b/>
          <w:color w:val="0D0D0D" w:themeColor="text1" w:themeTint="F2"/>
        </w:rPr>
      </w:pPr>
      <w:r w:rsidRPr="006A2BAB">
        <w:rPr>
          <w:b/>
          <w:color w:val="0D0D0D" w:themeColor="text1" w:themeTint="F2"/>
        </w:rPr>
        <w:lastRenderedPageBreak/>
        <w:t xml:space="preserve">-Nënprodukti D. Ankesa të trajtuara ( nr.rreth +- </w:t>
      </w:r>
      <w:r w:rsidR="001121FF" w:rsidRPr="006A2BAB">
        <w:rPr>
          <w:b/>
          <w:color w:val="0D0D0D" w:themeColor="text1" w:themeTint="F2"/>
        </w:rPr>
        <w:t>300</w:t>
      </w:r>
      <w:r w:rsidRPr="006A2BAB">
        <w:rPr>
          <w:b/>
          <w:color w:val="0D0D0D" w:themeColor="text1" w:themeTint="F2"/>
        </w:rPr>
        <w:t xml:space="preserve">), </w:t>
      </w:r>
      <w:r w:rsidR="00FA4FDF" w:rsidRPr="006A2BAB">
        <w:rPr>
          <w:b/>
          <w:color w:val="0D0D0D" w:themeColor="text1" w:themeTint="F2"/>
        </w:rPr>
        <w:t xml:space="preserve"> </w:t>
      </w:r>
      <w:r w:rsidRPr="006A2BAB">
        <w:rPr>
          <w:b/>
          <w:color w:val="0D0D0D" w:themeColor="text1" w:themeTint="F2"/>
        </w:rPr>
        <w:t xml:space="preserve"> </w:t>
      </w:r>
    </w:p>
    <w:p w:rsidR="000151E0" w:rsidRPr="006A2BAB" w:rsidRDefault="000151E0" w:rsidP="00FA4FDF">
      <w:pPr>
        <w:spacing w:before="240" w:line="276" w:lineRule="auto"/>
        <w:jc w:val="both"/>
        <w:rPr>
          <w:rFonts w:eastAsia="Calibri"/>
        </w:rPr>
      </w:pPr>
      <w:r w:rsidRPr="006A2BAB">
        <w:rPr>
          <w:rFonts w:eastAsia="Calibri"/>
        </w:rPr>
        <w:t xml:space="preserve"> </w:t>
      </w:r>
      <w:r w:rsidR="00AE7FED" w:rsidRPr="006A2BAB">
        <w:rPr>
          <w:rFonts w:eastAsia="Calibri"/>
        </w:rPr>
        <w:t xml:space="preserve"> </w:t>
      </w:r>
      <w:r w:rsidRPr="006A2BAB">
        <w:rPr>
          <w:rFonts w:eastAsia="Calibri"/>
        </w:rPr>
        <w:t xml:space="preserve">Gjatë periudhës së raportimit ( </w:t>
      </w:r>
      <w:r w:rsidR="00840619" w:rsidRPr="006A2BAB">
        <w:rPr>
          <w:rFonts w:eastAsia="Calibri"/>
        </w:rPr>
        <w:t>8</w:t>
      </w:r>
      <w:r w:rsidRPr="006A2BAB">
        <w:rPr>
          <w:rFonts w:eastAsia="Calibri"/>
        </w:rPr>
        <w:t xml:space="preserve"> - mujori</w:t>
      </w:r>
      <w:r w:rsidR="00840619" w:rsidRPr="006A2BAB">
        <w:rPr>
          <w:rFonts w:eastAsia="Calibri"/>
        </w:rPr>
        <w:t>t</w:t>
      </w:r>
      <w:r w:rsidRPr="006A2BAB">
        <w:rPr>
          <w:rFonts w:eastAsia="Calibri"/>
        </w:rPr>
        <w:t xml:space="preserve"> </w:t>
      </w:r>
      <w:r w:rsidR="00840619" w:rsidRPr="006A2BAB">
        <w:rPr>
          <w:rFonts w:eastAsia="Calibri"/>
        </w:rPr>
        <w:t xml:space="preserve"> </w:t>
      </w:r>
      <w:r w:rsidRPr="006A2BAB">
        <w:rPr>
          <w:rFonts w:eastAsia="Calibri"/>
        </w:rPr>
        <w:t xml:space="preserve"> 202</w:t>
      </w:r>
      <w:r w:rsidR="00FA4FDF" w:rsidRPr="006A2BAB">
        <w:rPr>
          <w:rFonts w:eastAsia="Calibri"/>
        </w:rPr>
        <w:t>3</w:t>
      </w:r>
      <w:r w:rsidRPr="006A2BAB">
        <w:rPr>
          <w:rFonts w:eastAsia="Calibri"/>
        </w:rPr>
        <w:t>)</w:t>
      </w:r>
      <w:r w:rsidRPr="006A2BAB">
        <w:t xml:space="preserve">, </w:t>
      </w:r>
      <w:r w:rsidRPr="006A2BAB">
        <w:rPr>
          <w:rFonts w:eastAsia="Calibri"/>
        </w:rPr>
        <w:t>j</w:t>
      </w:r>
      <w:r w:rsidR="00840619" w:rsidRPr="006A2BAB">
        <w:rPr>
          <w:rFonts w:eastAsia="Calibri"/>
        </w:rPr>
        <w:t xml:space="preserve">anë trajtuar </w:t>
      </w:r>
      <w:r w:rsidR="00840619" w:rsidRPr="006A2BAB">
        <w:rPr>
          <w:rFonts w:eastAsia="Calibri"/>
          <w:b/>
        </w:rPr>
        <w:t xml:space="preserve">280 ankesa </w:t>
      </w:r>
      <w:r w:rsidR="00840619" w:rsidRPr="006A2BAB">
        <w:rPr>
          <w:bCs/>
        </w:rPr>
        <w:t>nga subjektet e të dhënave personale</w:t>
      </w:r>
      <w:r w:rsidR="00840619" w:rsidRPr="006A2BAB">
        <w:t xml:space="preserve"> në kuadër të ligjshmërisë së përpunimit të të dhënave personale</w:t>
      </w:r>
      <w:r w:rsidR="00840619" w:rsidRPr="006A2BAB">
        <w:rPr>
          <w:bCs/>
        </w:rPr>
        <w:t xml:space="preserve">, </w:t>
      </w:r>
      <w:r w:rsidR="00FA4FDF" w:rsidRPr="006A2BAB">
        <w:t xml:space="preserve"> </w:t>
      </w:r>
      <w:r w:rsidRPr="006A2BAB">
        <w:t xml:space="preserve">  e cila tregon një rritje të ndërgjegjësimit të qytetarëve në cilësinë e subjektit të të dhënave në lidhje me </w:t>
      </w:r>
      <w:r w:rsidRPr="006A2BAB">
        <w:rPr>
          <w:rFonts w:eastAsia="Calibri"/>
        </w:rPr>
        <w:t xml:space="preserve">ushtrimin e të drejtave që garanton ligji për mbrojtjen e të dhënave personale, ndër të tjera, të drejtës për t’u ankuar. </w:t>
      </w:r>
      <w:r w:rsidRPr="006A2BAB">
        <w:t xml:space="preserve"> Tendenca në rritje e numrit të ankesave gjatë viteve të fundit, është tregues për rëndësinë që po i kushtojnë individët kontrollit dhe mbrojtjes së të dhënave të tyre personale.</w:t>
      </w:r>
    </w:p>
    <w:p w:rsidR="000151E0" w:rsidRPr="006A2BAB" w:rsidRDefault="000151E0" w:rsidP="000151E0">
      <w:pPr>
        <w:spacing w:line="276" w:lineRule="auto"/>
        <w:jc w:val="both"/>
        <w:rPr>
          <w:b/>
          <w:color w:val="0D0D0D" w:themeColor="text1" w:themeTint="F2"/>
        </w:rPr>
      </w:pPr>
    </w:p>
    <w:p w:rsidR="008663E7" w:rsidRPr="006A2BAB" w:rsidRDefault="000151E0" w:rsidP="008663E7">
      <w:pPr>
        <w:spacing w:line="276" w:lineRule="auto"/>
        <w:jc w:val="both"/>
        <w:rPr>
          <w:color w:val="0D0D0D" w:themeColor="text1" w:themeTint="F2"/>
        </w:rPr>
      </w:pPr>
      <w:r w:rsidRPr="006A2BAB">
        <w:rPr>
          <w:b/>
          <w:color w:val="0D0D0D" w:themeColor="text1" w:themeTint="F2"/>
        </w:rPr>
        <w:t xml:space="preserve">Nënprodukti D: Ankesa të trajtuara, </w:t>
      </w:r>
      <w:r w:rsidRPr="006A2BAB">
        <w:rPr>
          <w:color w:val="0D0D0D" w:themeColor="text1" w:themeTint="F2"/>
        </w:rPr>
        <w:t xml:space="preserve">pa përfshirë vendime, rekomandime është realizuar nga ana sasiore </w:t>
      </w:r>
      <w:r w:rsidR="00840619" w:rsidRPr="006A2BAB">
        <w:rPr>
          <w:color w:val="0D0D0D" w:themeColor="text1" w:themeTint="F2"/>
        </w:rPr>
        <w:t>280</w:t>
      </w:r>
      <w:r w:rsidRPr="006A2BAB">
        <w:rPr>
          <w:color w:val="0D0D0D" w:themeColor="text1" w:themeTint="F2"/>
        </w:rPr>
        <w:t xml:space="preserve">  ankesa, ku pritshm</w:t>
      </w:r>
      <w:r w:rsidR="00840619" w:rsidRPr="006A2BAB">
        <w:rPr>
          <w:color w:val="0D0D0D" w:themeColor="text1" w:themeTint="F2"/>
        </w:rPr>
        <w:t>ë</w:t>
      </w:r>
      <w:r w:rsidRPr="006A2BAB">
        <w:rPr>
          <w:color w:val="0D0D0D" w:themeColor="text1" w:themeTint="F2"/>
        </w:rPr>
        <w:t xml:space="preserve">ritë janë </w:t>
      </w:r>
      <w:r w:rsidR="00840619" w:rsidRPr="006A2BAB">
        <w:rPr>
          <w:color w:val="0D0D0D" w:themeColor="text1" w:themeTint="F2"/>
        </w:rPr>
        <w:t xml:space="preserve"> </w:t>
      </w:r>
      <w:r w:rsidRPr="006A2BAB">
        <w:rPr>
          <w:color w:val="0D0D0D" w:themeColor="text1" w:themeTint="F2"/>
        </w:rPr>
        <w:t xml:space="preserve">në trendin rritës.   </w:t>
      </w:r>
    </w:p>
    <w:p w:rsidR="008663E7" w:rsidRPr="006A2BAB" w:rsidRDefault="008663E7" w:rsidP="008663E7">
      <w:pPr>
        <w:spacing w:line="276" w:lineRule="auto"/>
        <w:jc w:val="both"/>
        <w:rPr>
          <w:color w:val="0D0D0D" w:themeColor="text1" w:themeTint="F2"/>
        </w:rPr>
      </w:pPr>
    </w:p>
    <w:p w:rsidR="008663E7" w:rsidRPr="006A2BAB" w:rsidRDefault="008663E7" w:rsidP="008663E7">
      <w:pPr>
        <w:pStyle w:val="ListParagraph"/>
        <w:numPr>
          <w:ilvl w:val="0"/>
          <w:numId w:val="9"/>
        </w:numPr>
        <w:jc w:val="both"/>
        <w:rPr>
          <w:rFonts w:ascii="Times New Roman" w:eastAsia="Batang" w:hAnsi="Times New Roman"/>
          <w:b/>
          <w:sz w:val="24"/>
          <w:szCs w:val="24"/>
          <w:lang w:eastAsia="ko-KR"/>
        </w:rPr>
      </w:pPr>
      <w:r w:rsidRPr="006A2BAB">
        <w:rPr>
          <w:rFonts w:ascii="Times New Roman" w:eastAsia="Batang" w:hAnsi="Times New Roman"/>
          <w:b/>
          <w:sz w:val="24"/>
          <w:szCs w:val="24"/>
          <w:lang w:eastAsia="ko-KR"/>
        </w:rPr>
        <w:t xml:space="preserve">Aktivitete të tjera mbështetëse </w:t>
      </w:r>
    </w:p>
    <w:p w:rsidR="008663E7" w:rsidRPr="006A2BAB" w:rsidRDefault="008663E7" w:rsidP="008663E7">
      <w:pPr>
        <w:spacing w:line="276" w:lineRule="auto"/>
        <w:jc w:val="both"/>
        <w:rPr>
          <w:rFonts w:eastAsia="Batang"/>
          <w:b/>
          <w:lang w:eastAsia="ko-KR"/>
        </w:rPr>
      </w:pPr>
    </w:p>
    <w:p w:rsidR="008663E7" w:rsidRPr="006A2BAB" w:rsidRDefault="008663E7" w:rsidP="008663E7">
      <w:pPr>
        <w:widowControl w:val="0"/>
        <w:jc w:val="both"/>
        <w:rPr>
          <w:color w:val="000000" w:themeColor="text1"/>
          <w:shd w:val="clear" w:color="auto" w:fill="FFFFFF"/>
        </w:rPr>
      </w:pPr>
      <w:r w:rsidRPr="006A2BAB">
        <w:rPr>
          <w:color w:val="000000" w:themeColor="text1"/>
          <w:shd w:val="clear" w:color="auto" w:fill="FFFFFF"/>
        </w:rPr>
        <w:t xml:space="preserve">Në kuadër të aktiviteteve për Javën e Mbrojtjes së të Dhënave Personale dhe në vigjilje të 28 Janarit, Zyra e Komisionerit për të Drejtën e Informimit dhe Mbrojtjen e të Dhënave Personale </w:t>
      </w:r>
      <w:r w:rsidRPr="006A2BAB">
        <w:rPr>
          <w:color w:val="000000" w:themeColor="text1"/>
        </w:rPr>
        <w:t xml:space="preserve">ka zhvilluar disa aktivitete paralele me pjesëmarrës të studentëve dhe </w:t>
      </w:r>
      <w:r w:rsidRPr="006A2BAB">
        <w:rPr>
          <w:color w:val="000000" w:themeColor="text1"/>
          <w:shd w:val="clear" w:color="auto" w:fill="FFFFFF"/>
        </w:rPr>
        <w:t xml:space="preserve">stafin akademik </w:t>
      </w:r>
      <w:r w:rsidRPr="006A2BAB">
        <w:rPr>
          <w:color w:val="000000" w:themeColor="text1"/>
        </w:rPr>
        <w:t xml:space="preserve">të  </w:t>
      </w:r>
      <w:r w:rsidRPr="006A2BAB">
        <w:rPr>
          <w:color w:val="000000" w:themeColor="text1"/>
          <w:shd w:val="clear" w:color="auto" w:fill="FFFFFF"/>
        </w:rPr>
        <w:t>Fakulteteve në formën e një leksioneve të hapura.</w:t>
      </w:r>
    </w:p>
    <w:p w:rsidR="008663E7" w:rsidRPr="006A2BAB" w:rsidRDefault="008663E7" w:rsidP="008663E7">
      <w:pPr>
        <w:shd w:val="clear" w:color="auto" w:fill="FFFFFF"/>
        <w:jc w:val="both"/>
        <w:textAlignment w:val="baseline"/>
        <w:rPr>
          <w:color w:val="000000" w:themeColor="text1"/>
          <w:lang w:val="en-US"/>
        </w:rPr>
      </w:pPr>
    </w:p>
    <w:p w:rsidR="008663E7" w:rsidRPr="006A2BAB" w:rsidRDefault="008663E7" w:rsidP="008663E7">
      <w:pPr>
        <w:shd w:val="clear" w:color="auto" w:fill="FFFFFF"/>
        <w:jc w:val="both"/>
        <w:textAlignment w:val="baseline"/>
        <w:rPr>
          <w:color w:val="000000" w:themeColor="text1"/>
          <w:lang w:val="en-US"/>
        </w:rPr>
      </w:pPr>
      <w:proofErr w:type="spellStart"/>
      <w:r w:rsidRPr="006A2BAB">
        <w:rPr>
          <w:color w:val="000000" w:themeColor="text1"/>
          <w:lang w:val="en-US"/>
        </w:rPr>
        <w:t>Zyra</w:t>
      </w:r>
      <w:proofErr w:type="spellEnd"/>
      <w:r w:rsidRPr="006A2BAB">
        <w:rPr>
          <w:color w:val="000000" w:themeColor="text1"/>
          <w:lang w:val="en-US"/>
        </w:rPr>
        <w:t xml:space="preserve"> e </w:t>
      </w:r>
      <w:proofErr w:type="spellStart"/>
      <w:r w:rsidRPr="006A2BAB">
        <w:rPr>
          <w:color w:val="000000" w:themeColor="text1"/>
          <w:lang w:val="en-US"/>
        </w:rPr>
        <w:t>Komisionerit</w:t>
      </w:r>
      <w:proofErr w:type="spellEnd"/>
      <w:r w:rsidRPr="006A2BAB">
        <w:rPr>
          <w:color w:val="000000" w:themeColor="text1"/>
          <w:lang w:val="en-US"/>
        </w:rPr>
        <w:t xml:space="preserve"> </w:t>
      </w:r>
      <w:proofErr w:type="spellStart"/>
      <w:r w:rsidRPr="006A2BAB">
        <w:rPr>
          <w:color w:val="000000" w:themeColor="text1"/>
          <w:lang w:val="en-US"/>
        </w:rPr>
        <w:t>për</w:t>
      </w:r>
      <w:proofErr w:type="spellEnd"/>
      <w:r w:rsidRPr="006A2BAB">
        <w:rPr>
          <w:color w:val="000000" w:themeColor="text1"/>
          <w:lang w:val="en-US"/>
        </w:rPr>
        <w:t xml:space="preserve"> </w:t>
      </w:r>
      <w:proofErr w:type="spellStart"/>
      <w:r w:rsidRPr="006A2BAB">
        <w:rPr>
          <w:color w:val="000000" w:themeColor="text1"/>
          <w:lang w:val="en-US"/>
        </w:rPr>
        <w:t>të</w:t>
      </w:r>
      <w:proofErr w:type="spellEnd"/>
      <w:r w:rsidRPr="006A2BAB">
        <w:rPr>
          <w:color w:val="000000" w:themeColor="text1"/>
          <w:lang w:val="en-US"/>
        </w:rPr>
        <w:t xml:space="preserve"> </w:t>
      </w:r>
      <w:proofErr w:type="spellStart"/>
      <w:r w:rsidRPr="006A2BAB">
        <w:rPr>
          <w:color w:val="000000" w:themeColor="text1"/>
          <w:lang w:val="en-US"/>
        </w:rPr>
        <w:t>Drejtën</w:t>
      </w:r>
      <w:proofErr w:type="spellEnd"/>
      <w:r w:rsidRPr="006A2BAB">
        <w:rPr>
          <w:color w:val="000000" w:themeColor="text1"/>
          <w:lang w:val="en-US"/>
        </w:rPr>
        <w:t xml:space="preserve"> e </w:t>
      </w:r>
      <w:proofErr w:type="spellStart"/>
      <w:r w:rsidRPr="006A2BAB">
        <w:rPr>
          <w:color w:val="000000" w:themeColor="text1"/>
          <w:lang w:val="en-US"/>
        </w:rPr>
        <w:t>Informimit</w:t>
      </w:r>
      <w:proofErr w:type="spellEnd"/>
      <w:r w:rsidRPr="006A2BAB">
        <w:rPr>
          <w:color w:val="000000" w:themeColor="text1"/>
          <w:lang w:val="en-US"/>
        </w:rPr>
        <w:t xml:space="preserve"> </w:t>
      </w:r>
      <w:proofErr w:type="spellStart"/>
      <w:r w:rsidRPr="006A2BAB">
        <w:rPr>
          <w:color w:val="000000" w:themeColor="text1"/>
          <w:lang w:val="en-US"/>
        </w:rPr>
        <w:t>dhe</w:t>
      </w:r>
      <w:proofErr w:type="spellEnd"/>
      <w:r w:rsidRPr="006A2BAB">
        <w:rPr>
          <w:color w:val="000000" w:themeColor="text1"/>
          <w:lang w:val="en-US"/>
        </w:rPr>
        <w:t xml:space="preserve"> </w:t>
      </w:r>
      <w:proofErr w:type="spellStart"/>
      <w:r w:rsidRPr="006A2BAB">
        <w:rPr>
          <w:color w:val="000000" w:themeColor="text1"/>
          <w:lang w:val="en-US"/>
        </w:rPr>
        <w:t>Mbrojtjen</w:t>
      </w:r>
      <w:proofErr w:type="spellEnd"/>
      <w:r w:rsidRPr="006A2BAB">
        <w:rPr>
          <w:color w:val="000000" w:themeColor="text1"/>
          <w:lang w:val="en-US"/>
        </w:rPr>
        <w:t xml:space="preserve"> e </w:t>
      </w:r>
      <w:proofErr w:type="spellStart"/>
      <w:r w:rsidRPr="006A2BAB">
        <w:rPr>
          <w:color w:val="000000" w:themeColor="text1"/>
          <w:lang w:val="en-US"/>
        </w:rPr>
        <w:t>të</w:t>
      </w:r>
      <w:proofErr w:type="spellEnd"/>
      <w:r w:rsidRPr="006A2BAB">
        <w:rPr>
          <w:color w:val="000000" w:themeColor="text1"/>
          <w:lang w:val="en-US"/>
        </w:rPr>
        <w:t xml:space="preserve"> </w:t>
      </w:r>
      <w:proofErr w:type="spellStart"/>
      <w:r w:rsidRPr="006A2BAB">
        <w:rPr>
          <w:color w:val="000000" w:themeColor="text1"/>
          <w:lang w:val="en-US"/>
        </w:rPr>
        <w:t>Dhënave</w:t>
      </w:r>
      <w:proofErr w:type="spellEnd"/>
      <w:r w:rsidRPr="006A2BAB">
        <w:rPr>
          <w:color w:val="000000" w:themeColor="text1"/>
          <w:lang w:val="en-US"/>
        </w:rPr>
        <w:t xml:space="preserve"> </w:t>
      </w:r>
      <w:proofErr w:type="spellStart"/>
      <w:r w:rsidRPr="006A2BAB">
        <w:rPr>
          <w:color w:val="000000" w:themeColor="text1"/>
          <w:lang w:val="en-US"/>
        </w:rPr>
        <w:t>Personale</w:t>
      </w:r>
      <w:proofErr w:type="spellEnd"/>
      <w:r w:rsidRPr="006A2BAB">
        <w:rPr>
          <w:color w:val="000000" w:themeColor="text1"/>
          <w:lang w:val="en-US"/>
        </w:rPr>
        <w:t xml:space="preserve">, </w:t>
      </w:r>
      <w:proofErr w:type="spellStart"/>
      <w:r w:rsidRPr="006A2BAB">
        <w:rPr>
          <w:color w:val="000000" w:themeColor="text1"/>
          <w:lang w:val="en-US"/>
        </w:rPr>
        <w:t>në</w:t>
      </w:r>
      <w:proofErr w:type="spellEnd"/>
      <w:r w:rsidRPr="006A2BAB">
        <w:rPr>
          <w:color w:val="000000" w:themeColor="text1"/>
          <w:lang w:val="en-US"/>
        </w:rPr>
        <w:t xml:space="preserve"> </w:t>
      </w:r>
      <w:proofErr w:type="spellStart"/>
      <w:r w:rsidRPr="006A2BAB">
        <w:rPr>
          <w:color w:val="000000" w:themeColor="text1"/>
          <w:lang w:val="en-US"/>
        </w:rPr>
        <w:t>kuadër</w:t>
      </w:r>
      <w:proofErr w:type="spellEnd"/>
      <w:r w:rsidRPr="006A2BAB">
        <w:rPr>
          <w:color w:val="000000" w:themeColor="text1"/>
          <w:lang w:val="en-US"/>
        </w:rPr>
        <w:t xml:space="preserve"> </w:t>
      </w:r>
      <w:proofErr w:type="spellStart"/>
      <w:r w:rsidRPr="006A2BAB">
        <w:rPr>
          <w:color w:val="000000" w:themeColor="text1"/>
          <w:lang w:val="en-US"/>
        </w:rPr>
        <w:t>të</w:t>
      </w:r>
      <w:proofErr w:type="spellEnd"/>
      <w:r w:rsidRPr="006A2BAB">
        <w:rPr>
          <w:color w:val="000000" w:themeColor="text1"/>
          <w:lang w:val="en-US"/>
        </w:rPr>
        <w:t xml:space="preserve"> </w:t>
      </w:r>
      <w:proofErr w:type="spellStart"/>
      <w:r w:rsidRPr="006A2BAB">
        <w:rPr>
          <w:color w:val="000000" w:themeColor="text1"/>
          <w:lang w:val="en-US"/>
        </w:rPr>
        <w:t>aktiviteteve</w:t>
      </w:r>
      <w:proofErr w:type="spellEnd"/>
      <w:r w:rsidRPr="006A2BAB">
        <w:rPr>
          <w:color w:val="000000" w:themeColor="text1"/>
          <w:lang w:val="en-US"/>
        </w:rPr>
        <w:t xml:space="preserve"> </w:t>
      </w:r>
      <w:proofErr w:type="spellStart"/>
      <w:r w:rsidRPr="006A2BAB">
        <w:rPr>
          <w:color w:val="000000" w:themeColor="text1"/>
          <w:lang w:val="en-US"/>
        </w:rPr>
        <w:t>për</w:t>
      </w:r>
      <w:proofErr w:type="spellEnd"/>
      <w:r w:rsidRPr="006A2BAB">
        <w:rPr>
          <w:color w:val="000000" w:themeColor="text1"/>
          <w:lang w:val="en-US"/>
        </w:rPr>
        <w:t xml:space="preserve"> </w:t>
      </w:r>
      <w:proofErr w:type="spellStart"/>
      <w:r w:rsidRPr="006A2BAB">
        <w:rPr>
          <w:color w:val="000000" w:themeColor="text1"/>
          <w:lang w:val="en-US"/>
        </w:rPr>
        <w:t>Javën</w:t>
      </w:r>
      <w:proofErr w:type="spellEnd"/>
      <w:r w:rsidRPr="006A2BAB">
        <w:rPr>
          <w:color w:val="000000" w:themeColor="text1"/>
          <w:lang w:val="en-US"/>
        </w:rPr>
        <w:t xml:space="preserve"> e </w:t>
      </w:r>
      <w:proofErr w:type="spellStart"/>
      <w:r w:rsidRPr="006A2BAB">
        <w:rPr>
          <w:color w:val="000000" w:themeColor="text1"/>
          <w:lang w:val="en-US"/>
        </w:rPr>
        <w:t>Mbrojtjes</w:t>
      </w:r>
      <w:proofErr w:type="spellEnd"/>
      <w:r w:rsidRPr="006A2BAB">
        <w:rPr>
          <w:color w:val="000000" w:themeColor="text1"/>
          <w:lang w:val="en-US"/>
        </w:rPr>
        <w:t xml:space="preserve"> </w:t>
      </w:r>
      <w:proofErr w:type="spellStart"/>
      <w:r w:rsidRPr="006A2BAB">
        <w:rPr>
          <w:color w:val="000000" w:themeColor="text1"/>
          <w:lang w:val="en-US"/>
        </w:rPr>
        <w:t>së</w:t>
      </w:r>
      <w:proofErr w:type="spellEnd"/>
      <w:r w:rsidRPr="006A2BAB">
        <w:rPr>
          <w:color w:val="000000" w:themeColor="text1"/>
          <w:lang w:val="en-US"/>
        </w:rPr>
        <w:t xml:space="preserve"> </w:t>
      </w:r>
      <w:proofErr w:type="spellStart"/>
      <w:r w:rsidRPr="006A2BAB">
        <w:rPr>
          <w:color w:val="000000" w:themeColor="text1"/>
          <w:lang w:val="en-US"/>
        </w:rPr>
        <w:t>të</w:t>
      </w:r>
      <w:proofErr w:type="spellEnd"/>
      <w:r w:rsidRPr="006A2BAB">
        <w:rPr>
          <w:color w:val="000000" w:themeColor="text1"/>
          <w:lang w:val="en-US"/>
        </w:rPr>
        <w:t xml:space="preserve"> </w:t>
      </w:r>
      <w:proofErr w:type="spellStart"/>
      <w:r w:rsidRPr="006A2BAB">
        <w:rPr>
          <w:color w:val="000000" w:themeColor="text1"/>
          <w:lang w:val="en-US"/>
        </w:rPr>
        <w:t>Dhënave</w:t>
      </w:r>
      <w:proofErr w:type="spellEnd"/>
      <w:r w:rsidRPr="006A2BAB">
        <w:rPr>
          <w:color w:val="000000" w:themeColor="text1"/>
          <w:lang w:val="en-US"/>
        </w:rPr>
        <w:t xml:space="preserve"> </w:t>
      </w:r>
      <w:proofErr w:type="spellStart"/>
      <w:r w:rsidRPr="006A2BAB">
        <w:rPr>
          <w:color w:val="000000" w:themeColor="text1"/>
          <w:lang w:val="en-US"/>
        </w:rPr>
        <w:t>Personale</w:t>
      </w:r>
      <w:proofErr w:type="spellEnd"/>
      <w:r w:rsidRPr="006A2BAB">
        <w:rPr>
          <w:color w:val="000000" w:themeColor="text1"/>
          <w:lang w:val="en-US"/>
        </w:rPr>
        <w:t xml:space="preserve">, </w:t>
      </w:r>
      <w:proofErr w:type="spellStart"/>
      <w:r w:rsidRPr="006A2BAB">
        <w:rPr>
          <w:color w:val="000000" w:themeColor="text1"/>
          <w:lang w:val="en-US"/>
        </w:rPr>
        <w:t>ka</w:t>
      </w:r>
      <w:proofErr w:type="spellEnd"/>
      <w:r w:rsidRPr="006A2BAB">
        <w:rPr>
          <w:color w:val="000000" w:themeColor="text1"/>
          <w:lang w:val="en-US"/>
        </w:rPr>
        <w:t xml:space="preserve"> </w:t>
      </w:r>
      <w:proofErr w:type="spellStart"/>
      <w:r w:rsidRPr="006A2BAB">
        <w:rPr>
          <w:color w:val="000000" w:themeColor="text1"/>
          <w:lang w:val="en-US"/>
        </w:rPr>
        <w:t>përgatitur</w:t>
      </w:r>
      <w:proofErr w:type="spellEnd"/>
      <w:r w:rsidRPr="006A2BAB">
        <w:rPr>
          <w:color w:val="000000" w:themeColor="text1"/>
          <w:lang w:val="en-US"/>
        </w:rPr>
        <w:t xml:space="preserve"> </w:t>
      </w:r>
      <w:proofErr w:type="spellStart"/>
      <w:r w:rsidRPr="006A2BAB">
        <w:rPr>
          <w:color w:val="000000" w:themeColor="text1"/>
          <w:lang w:val="en-US"/>
        </w:rPr>
        <w:t>një</w:t>
      </w:r>
      <w:proofErr w:type="spellEnd"/>
      <w:r w:rsidRPr="006A2BAB">
        <w:rPr>
          <w:color w:val="000000" w:themeColor="text1"/>
          <w:lang w:val="en-US"/>
        </w:rPr>
        <w:t> </w:t>
      </w:r>
      <w:r w:rsidRPr="006A2BAB">
        <w:rPr>
          <w:iCs/>
          <w:color w:val="000000" w:themeColor="text1"/>
          <w:bdr w:val="none" w:sz="0" w:space="0" w:color="auto" w:frame="1"/>
          <w:lang w:val="en-US"/>
        </w:rPr>
        <w:t>video</w:t>
      </w:r>
      <w:r w:rsidRPr="006A2BAB">
        <w:rPr>
          <w:color w:val="000000" w:themeColor="text1"/>
          <w:lang w:val="en-US"/>
        </w:rPr>
        <w:t> </w:t>
      </w:r>
      <w:proofErr w:type="spellStart"/>
      <w:r w:rsidRPr="006A2BAB">
        <w:rPr>
          <w:color w:val="000000" w:themeColor="text1"/>
          <w:lang w:val="en-US"/>
        </w:rPr>
        <w:t>dhe</w:t>
      </w:r>
      <w:proofErr w:type="spellEnd"/>
      <w:r w:rsidRPr="006A2BAB">
        <w:rPr>
          <w:color w:val="000000" w:themeColor="text1"/>
          <w:lang w:val="en-US"/>
        </w:rPr>
        <w:t xml:space="preserve"> </w:t>
      </w:r>
      <w:proofErr w:type="spellStart"/>
      <w:r w:rsidRPr="006A2BAB">
        <w:rPr>
          <w:color w:val="000000" w:themeColor="text1"/>
          <w:lang w:val="en-US"/>
        </w:rPr>
        <w:t>një</w:t>
      </w:r>
      <w:proofErr w:type="spellEnd"/>
      <w:r w:rsidRPr="006A2BAB">
        <w:rPr>
          <w:color w:val="000000" w:themeColor="text1"/>
          <w:lang w:val="en-US"/>
        </w:rPr>
        <w:t> </w:t>
      </w:r>
      <w:r w:rsidRPr="006A2BAB">
        <w:rPr>
          <w:iCs/>
          <w:color w:val="000000" w:themeColor="text1"/>
          <w:bdr w:val="none" w:sz="0" w:space="0" w:color="auto" w:frame="1"/>
          <w:lang w:val="en-US"/>
        </w:rPr>
        <w:t>poster</w:t>
      </w:r>
      <w:r w:rsidRPr="006A2BAB">
        <w:rPr>
          <w:color w:val="000000" w:themeColor="text1"/>
          <w:lang w:val="en-US"/>
        </w:rPr>
        <w:t> </w:t>
      </w:r>
      <w:proofErr w:type="spellStart"/>
      <w:r w:rsidRPr="006A2BAB">
        <w:rPr>
          <w:color w:val="000000" w:themeColor="text1"/>
          <w:lang w:val="en-US"/>
        </w:rPr>
        <w:t>elektronik</w:t>
      </w:r>
      <w:proofErr w:type="spellEnd"/>
      <w:r w:rsidRPr="006A2BAB">
        <w:rPr>
          <w:color w:val="000000" w:themeColor="text1"/>
          <w:lang w:val="en-US"/>
        </w:rPr>
        <w:t xml:space="preserve">. </w:t>
      </w:r>
      <w:proofErr w:type="spellStart"/>
      <w:r w:rsidRPr="006A2BAB">
        <w:rPr>
          <w:color w:val="000000" w:themeColor="text1"/>
          <w:lang w:val="en-US"/>
        </w:rPr>
        <w:t>Këto</w:t>
      </w:r>
      <w:proofErr w:type="spellEnd"/>
      <w:r w:rsidRPr="006A2BAB">
        <w:rPr>
          <w:color w:val="000000" w:themeColor="text1"/>
          <w:lang w:val="en-US"/>
        </w:rPr>
        <w:t xml:space="preserve"> </w:t>
      </w:r>
      <w:proofErr w:type="spellStart"/>
      <w:r w:rsidRPr="006A2BAB">
        <w:rPr>
          <w:color w:val="000000" w:themeColor="text1"/>
          <w:lang w:val="en-US"/>
        </w:rPr>
        <w:t>materiale</w:t>
      </w:r>
      <w:proofErr w:type="spellEnd"/>
      <w:r w:rsidRPr="006A2BAB">
        <w:rPr>
          <w:color w:val="000000" w:themeColor="text1"/>
          <w:lang w:val="en-US"/>
        </w:rPr>
        <w:t xml:space="preserve"> </w:t>
      </w:r>
      <w:proofErr w:type="spellStart"/>
      <w:r w:rsidRPr="006A2BAB">
        <w:rPr>
          <w:color w:val="000000" w:themeColor="text1"/>
          <w:lang w:val="en-US"/>
        </w:rPr>
        <w:t>ndërgjegjësuese</w:t>
      </w:r>
      <w:proofErr w:type="spellEnd"/>
      <w:r w:rsidRPr="006A2BAB">
        <w:rPr>
          <w:color w:val="000000" w:themeColor="text1"/>
          <w:lang w:val="en-US"/>
        </w:rPr>
        <w:t xml:space="preserve"> </w:t>
      </w:r>
      <w:proofErr w:type="spellStart"/>
      <w:r w:rsidRPr="006A2BAB">
        <w:rPr>
          <w:color w:val="000000" w:themeColor="text1"/>
          <w:lang w:val="en-US"/>
        </w:rPr>
        <w:t>iu</w:t>
      </w:r>
      <w:proofErr w:type="spellEnd"/>
      <w:r w:rsidRPr="006A2BAB">
        <w:rPr>
          <w:color w:val="000000" w:themeColor="text1"/>
          <w:lang w:val="en-US"/>
        </w:rPr>
        <w:t xml:space="preserve"> </w:t>
      </w:r>
      <w:proofErr w:type="spellStart"/>
      <w:r w:rsidRPr="006A2BAB">
        <w:rPr>
          <w:color w:val="000000" w:themeColor="text1"/>
          <w:lang w:val="en-US"/>
        </w:rPr>
        <w:t>shpërndanë</w:t>
      </w:r>
      <w:proofErr w:type="spellEnd"/>
      <w:r w:rsidRPr="006A2BAB">
        <w:rPr>
          <w:color w:val="000000" w:themeColor="text1"/>
          <w:lang w:val="en-US"/>
        </w:rPr>
        <w:t xml:space="preserve"> </w:t>
      </w:r>
      <w:proofErr w:type="spellStart"/>
      <w:r w:rsidRPr="006A2BAB">
        <w:rPr>
          <w:color w:val="000000" w:themeColor="text1"/>
          <w:lang w:val="en-US"/>
        </w:rPr>
        <w:t>autoriteteve</w:t>
      </w:r>
      <w:proofErr w:type="spellEnd"/>
      <w:r w:rsidRPr="006A2BAB">
        <w:rPr>
          <w:color w:val="000000" w:themeColor="text1"/>
          <w:lang w:val="en-US"/>
        </w:rPr>
        <w:t xml:space="preserve"> (</w:t>
      </w:r>
      <w:proofErr w:type="spellStart"/>
      <w:r w:rsidRPr="006A2BAB">
        <w:rPr>
          <w:color w:val="000000" w:themeColor="text1"/>
          <w:lang w:val="en-US"/>
        </w:rPr>
        <w:t>kontrollues</w:t>
      </w:r>
      <w:proofErr w:type="spellEnd"/>
      <w:r w:rsidRPr="006A2BAB">
        <w:rPr>
          <w:color w:val="000000" w:themeColor="text1"/>
          <w:lang w:val="en-US"/>
        </w:rPr>
        <w:t xml:space="preserve">) </w:t>
      </w:r>
      <w:proofErr w:type="spellStart"/>
      <w:r w:rsidRPr="006A2BAB">
        <w:rPr>
          <w:color w:val="000000" w:themeColor="text1"/>
          <w:lang w:val="en-US"/>
        </w:rPr>
        <w:t>publike</w:t>
      </w:r>
      <w:proofErr w:type="spellEnd"/>
      <w:r w:rsidRPr="006A2BAB">
        <w:rPr>
          <w:color w:val="000000" w:themeColor="text1"/>
          <w:lang w:val="en-US"/>
        </w:rPr>
        <w:t xml:space="preserve"> </w:t>
      </w:r>
      <w:proofErr w:type="spellStart"/>
      <w:r w:rsidRPr="006A2BAB">
        <w:rPr>
          <w:color w:val="000000" w:themeColor="text1"/>
          <w:lang w:val="en-US"/>
        </w:rPr>
        <w:t>qendrore</w:t>
      </w:r>
      <w:proofErr w:type="spellEnd"/>
      <w:r w:rsidRPr="006A2BAB">
        <w:rPr>
          <w:color w:val="000000" w:themeColor="text1"/>
          <w:lang w:val="en-US"/>
        </w:rPr>
        <w:t xml:space="preserve"> e </w:t>
      </w:r>
      <w:proofErr w:type="spellStart"/>
      <w:r w:rsidRPr="006A2BAB">
        <w:rPr>
          <w:color w:val="000000" w:themeColor="text1"/>
          <w:lang w:val="en-US"/>
        </w:rPr>
        <w:t>të</w:t>
      </w:r>
      <w:proofErr w:type="spellEnd"/>
      <w:r w:rsidRPr="006A2BAB">
        <w:rPr>
          <w:color w:val="000000" w:themeColor="text1"/>
          <w:lang w:val="en-US"/>
        </w:rPr>
        <w:t xml:space="preserve"> </w:t>
      </w:r>
      <w:proofErr w:type="spellStart"/>
      <w:r w:rsidRPr="006A2BAB">
        <w:rPr>
          <w:color w:val="000000" w:themeColor="text1"/>
          <w:lang w:val="en-US"/>
        </w:rPr>
        <w:t>varësisë</w:t>
      </w:r>
      <w:proofErr w:type="spellEnd"/>
      <w:r w:rsidRPr="006A2BAB">
        <w:rPr>
          <w:color w:val="000000" w:themeColor="text1"/>
          <w:lang w:val="en-US"/>
        </w:rPr>
        <w:t xml:space="preserve">, </w:t>
      </w:r>
      <w:proofErr w:type="spellStart"/>
      <w:r w:rsidRPr="006A2BAB">
        <w:rPr>
          <w:color w:val="000000" w:themeColor="text1"/>
          <w:lang w:val="en-US"/>
        </w:rPr>
        <w:t>të</w:t>
      </w:r>
      <w:proofErr w:type="spellEnd"/>
      <w:r w:rsidRPr="006A2BAB">
        <w:rPr>
          <w:color w:val="000000" w:themeColor="text1"/>
          <w:lang w:val="en-US"/>
        </w:rPr>
        <w:t xml:space="preserve"> </w:t>
      </w:r>
      <w:proofErr w:type="spellStart"/>
      <w:r w:rsidRPr="006A2BAB">
        <w:rPr>
          <w:color w:val="000000" w:themeColor="text1"/>
          <w:lang w:val="en-US"/>
        </w:rPr>
        <w:t>pavarura</w:t>
      </w:r>
      <w:proofErr w:type="spellEnd"/>
      <w:r w:rsidRPr="006A2BAB">
        <w:rPr>
          <w:color w:val="000000" w:themeColor="text1"/>
          <w:lang w:val="en-US"/>
        </w:rPr>
        <w:t xml:space="preserve"> </w:t>
      </w:r>
      <w:proofErr w:type="spellStart"/>
      <w:r w:rsidRPr="006A2BAB">
        <w:rPr>
          <w:color w:val="000000" w:themeColor="text1"/>
          <w:lang w:val="en-US"/>
        </w:rPr>
        <w:t>apo</w:t>
      </w:r>
      <w:proofErr w:type="spellEnd"/>
      <w:r w:rsidRPr="006A2BAB">
        <w:rPr>
          <w:color w:val="000000" w:themeColor="text1"/>
          <w:lang w:val="en-US"/>
        </w:rPr>
        <w:t xml:space="preserve"> </w:t>
      </w:r>
      <w:proofErr w:type="spellStart"/>
      <w:r w:rsidRPr="006A2BAB">
        <w:rPr>
          <w:color w:val="000000" w:themeColor="text1"/>
          <w:lang w:val="en-US"/>
        </w:rPr>
        <w:t>të</w:t>
      </w:r>
      <w:proofErr w:type="spellEnd"/>
      <w:r w:rsidRPr="006A2BAB">
        <w:rPr>
          <w:color w:val="000000" w:themeColor="text1"/>
          <w:lang w:val="en-US"/>
        </w:rPr>
        <w:t xml:space="preserve"> </w:t>
      </w:r>
      <w:proofErr w:type="spellStart"/>
      <w:r w:rsidRPr="006A2BAB">
        <w:rPr>
          <w:color w:val="000000" w:themeColor="text1"/>
          <w:lang w:val="en-US"/>
        </w:rPr>
        <w:t>vetëqeverisjes</w:t>
      </w:r>
      <w:proofErr w:type="spellEnd"/>
      <w:r w:rsidRPr="006A2BAB">
        <w:rPr>
          <w:color w:val="000000" w:themeColor="text1"/>
          <w:lang w:val="en-US"/>
        </w:rPr>
        <w:t xml:space="preserve"> </w:t>
      </w:r>
      <w:proofErr w:type="spellStart"/>
      <w:r w:rsidRPr="006A2BAB">
        <w:rPr>
          <w:color w:val="000000" w:themeColor="text1"/>
          <w:lang w:val="en-US"/>
        </w:rPr>
        <w:t>vendore</w:t>
      </w:r>
      <w:proofErr w:type="spellEnd"/>
      <w:r w:rsidRPr="006A2BAB">
        <w:rPr>
          <w:color w:val="000000" w:themeColor="text1"/>
          <w:lang w:val="en-US"/>
        </w:rPr>
        <w:t xml:space="preserve"> </w:t>
      </w:r>
      <w:proofErr w:type="spellStart"/>
      <w:r w:rsidRPr="006A2BAB">
        <w:rPr>
          <w:color w:val="000000" w:themeColor="text1"/>
          <w:lang w:val="en-US"/>
        </w:rPr>
        <w:t>për</w:t>
      </w:r>
      <w:proofErr w:type="spellEnd"/>
      <w:r w:rsidRPr="006A2BAB">
        <w:rPr>
          <w:color w:val="000000" w:themeColor="text1"/>
          <w:lang w:val="en-US"/>
        </w:rPr>
        <w:t xml:space="preserve"> </w:t>
      </w:r>
      <w:proofErr w:type="spellStart"/>
      <w:r w:rsidRPr="006A2BAB">
        <w:rPr>
          <w:color w:val="000000" w:themeColor="text1"/>
          <w:lang w:val="en-US"/>
        </w:rPr>
        <w:t>t’u</w:t>
      </w:r>
      <w:proofErr w:type="spellEnd"/>
      <w:r w:rsidRPr="006A2BAB">
        <w:rPr>
          <w:color w:val="000000" w:themeColor="text1"/>
          <w:lang w:val="en-US"/>
        </w:rPr>
        <w:t xml:space="preserve"> </w:t>
      </w:r>
      <w:proofErr w:type="spellStart"/>
      <w:r w:rsidRPr="006A2BAB">
        <w:rPr>
          <w:color w:val="000000" w:themeColor="text1"/>
          <w:lang w:val="en-US"/>
        </w:rPr>
        <w:t>publikuar</w:t>
      </w:r>
      <w:proofErr w:type="spellEnd"/>
      <w:r w:rsidRPr="006A2BAB">
        <w:rPr>
          <w:color w:val="000000" w:themeColor="text1"/>
          <w:lang w:val="en-US"/>
        </w:rPr>
        <w:t xml:space="preserve"> </w:t>
      </w:r>
      <w:proofErr w:type="spellStart"/>
      <w:r w:rsidRPr="006A2BAB">
        <w:rPr>
          <w:color w:val="000000" w:themeColor="text1"/>
          <w:lang w:val="en-US"/>
        </w:rPr>
        <w:t>në</w:t>
      </w:r>
      <w:proofErr w:type="spellEnd"/>
      <w:r w:rsidRPr="006A2BAB">
        <w:rPr>
          <w:color w:val="000000" w:themeColor="text1"/>
          <w:lang w:val="en-US"/>
        </w:rPr>
        <w:t xml:space="preserve"> </w:t>
      </w:r>
      <w:proofErr w:type="spellStart"/>
      <w:r w:rsidRPr="006A2BAB">
        <w:rPr>
          <w:color w:val="000000" w:themeColor="text1"/>
          <w:lang w:val="en-US"/>
        </w:rPr>
        <w:t>faqet</w:t>
      </w:r>
      <w:proofErr w:type="spellEnd"/>
      <w:r w:rsidRPr="006A2BAB">
        <w:rPr>
          <w:color w:val="000000" w:themeColor="text1"/>
          <w:lang w:val="en-US"/>
        </w:rPr>
        <w:t xml:space="preserve"> </w:t>
      </w:r>
      <w:proofErr w:type="spellStart"/>
      <w:r w:rsidRPr="006A2BAB">
        <w:rPr>
          <w:color w:val="000000" w:themeColor="text1"/>
          <w:lang w:val="en-US"/>
        </w:rPr>
        <w:t>zyrtare</w:t>
      </w:r>
      <w:proofErr w:type="spellEnd"/>
      <w:r w:rsidRPr="006A2BAB">
        <w:rPr>
          <w:color w:val="000000" w:themeColor="text1"/>
          <w:lang w:val="en-US"/>
        </w:rPr>
        <w:t xml:space="preserve"> </w:t>
      </w:r>
      <w:proofErr w:type="spellStart"/>
      <w:r w:rsidRPr="006A2BAB">
        <w:rPr>
          <w:color w:val="000000" w:themeColor="text1"/>
          <w:lang w:val="en-US"/>
        </w:rPr>
        <w:t>të</w:t>
      </w:r>
      <w:proofErr w:type="spellEnd"/>
      <w:r w:rsidRPr="006A2BAB">
        <w:rPr>
          <w:color w:val="000000" w:themeColor="text1"/>
          <w:lang w:val="en-US"/>
        </w:rPr>
        <w:t xml:space="preserve"> </w:t>
      </w:r>
      <w:proofErr w:type="spellStart"/>
      <w:r w:rsidRPr="006A2BAB">
        <w:rPr>
          <w:color w:val="000000" w:themeColor="text1"/>
          <w:lang w:val="en-US"/>
        </w:rPr>
        <w:t>internetit</w:t>
      </w:r>
      <w:proofErr w:type="spellEnd"/>
      <w:r w:rsidRPr="006A2BAB">
        <w:rPr>
          <w:color w:val="000000" w:themeColor="text1"/>
          <w:lang w:val="en-US"/>
        </w:rPr>
        <w:t xml:space="preserve">, </w:t>
      </w:r>
      <w:proofErr w:type="spellStart"/>
      <w:r w:rsidRPr="006A2BAB">
        <w:rPr>
          <w:color w:val="000000" w:themeColor="text1"/>
          <w:lang w:val="en-US"/>
        </w:rPr>
        <w:t>si</w:t>
      </w:r>
      <w:proofErr w:type="spellEnd"/>
      <w:r w:rsidRPr="006A2BAB">
        <w:rPr>
          <w:color w:val="000000" w:themeColor="text1"/>
          <w:lang w:val="en-US"/>
        </w:rPr>
        <w:t xml:space="preserve"> </w:t>
      </w:r>
      <w:proofErr w:type="spellStart"/>
      <w:r w:rsidRPr="006A2BAB">
        <w:rPr>
          <w:color w:val="000000" w:themeColor="text1"/>
          <w:lang w:val="en-US"/>
        </w:rPr>
        <w:t>dhe</w:t>
      </w:r>
      <w:proofErr w:type="spellEnd"/>
      <w:r w:rsidRPr="006A2BAB">
        <w:rPr>
          <w:color w:val="000000" w:themeColor="text1"/>
          <w:lang w:val="en-US"/>
        </w:rPr>
        <w:t xml:space="preserve"> </w:t>
      </w:r>
      <w:proofErr w:type="spellStart"/>
      <w:r w:rsidRPr="006A2BAB">
        <w:rPr>
          <w:color w:val="000000" w:themeColor="text1"/>
          <w:lang w:val="en-US"/>
        </w:rPr>
        <w:t>subjekteve</w:t>
      </w:r>
      <w:proofErr w:type="spellEnd"/>
      <w:r w:rsidRPr="006A2BAB">
        <w:rPr>
          <w:color w:val="000000" w:themeColor="text1"/>
          <w:lang w:val="en-US"/>
        </w:rPr>
        <w:t xml:space="preserve"> </w:t>
      </w:r>
      <w:proofErr w:type="spellStart"/>
      <w:r w:rsidRPr="006A2BAB">
        <w:rPr>
          <w:color w:val="000000" w:themeColor="text1"/>
          <w:lang w:val="en-US"/>
        </w:rPr>
        <w:t>mediatike</w:t>
      </w:r>
      <w:proofErr w:type="spellEnd"/>
      <w:r w:rsidRPr="006A2BAB">
        <w:rPr>
          <w:color w:val="000000" w:themeColor="text1"/>
          <w:lang w:val="en-US"/>
        </w:rPr>
        <w:t xml:space="preserve"> </w:t>
      </w:r>
      <w:proofErr w:type="spellStart"/>
      <w:r w:rsidRPr="006A2BAB">
        <w:rPr>
          <w:color w:val="000000" w:themeColor="text1"/>
          <w:lang w:val="en-US"/>
        </w:rPr>
        <w:t>publike</w:t>
      </w:r>
      <w:proofErr w:type="spellEnd"/>
      <w:r w:rsidRPr="006A2BAB">
        <w:rPr>
          <w:color w:val="000000" w:themeColor="text1"/>
          <w:lang w:val="en-US"/>
        </w:rPr>
        <w:t xml:space="preserve"> e private </w:t>
      </w:r>
      <w:proofErr w:type="spellStart"/>
      <w:r w:rsidRPr="006A2BAB">
        <w:rPr>
          <w:color w:val="000000" w:themeColor="text1"/>
          <w:lang w:val="en-US"/>
        </w:rPr>
        <w:t>për</w:t>
      </w:r>
      <w:proofErr w:type="spellEnd"/>
      <w:r w:rsidRPr="006A2BAB">
        <w:rPr>
          <w:color w:val="000000" w:themeColor="text1"/>
          <w:lang w:val="en-US"/>
        </w:rPr>
        <w:t xml:space="preserve"> </w:t>
      </w:r>
      <w:proofErr w:type="spellStart"/>
      <w:r w:rsidRPr="006A2BAB">
        <w:rPr>
          <w:color w:val="000000" w:themeColor="text1"/>
          <w:lang w:val="en-US"/>
        </w:rPr>
        <w:t>t’u</w:t>
      </w:r>
      <w:proofErr w:type="spellEnd"/>
      <w:r w:rsidRPr="006A2BAB">
        <w:rPr>
          <w:color w:val="000000" w:themeColor="text1"/>
          <w:lang w:val="en-US"/>
        </w:rPr>
        <w:t xml:space="preserve"> </w:t>
      </w:r>
      <w:proofErr w:type="spellStart"/>
      <w:r w:rsidRPr="006A2BAB">
        <w:rPr>
          <w:color w:val="000000" w:themeColor="text1"/>
          <w:lang w:val="en-US"/>
        </w:rPr>
        <w:t>transmetuar</w:t>
      </w:r>
      <w:proofErr w:type="spellEnd"/>
      <w:r w:rsidRPr="006A2BAB">
        <w:rPr>
          <w:color w:val="000000" w:themeColor="text1"/>
          <w:lang w:val="en-US"/>
        </w:rPr>
        <w:t xml:space="preserve"> </w:t>
      </w:r>
      <w:proofErr w:type="spellStart"/>
      <w:r w:rsidRPr="006A2BAB">
        <w:rPr>
          <w:color w:val="000000" w:themeColor="text1"/>
          <w:lang w:val="en-US"/>
        </w:rPr>
        <w:t>në</w:t>
      </w:r>
      <w:proofErr w:type="spellEnd"/>
      <w:r w:rsidRPr="006A2BAB">
        <w:rPr>
          <w:color w:val="000000" w:themeColor="text1"/>
          <w:lang w:val="en-US"/>
        </w:rPr>
        <w:t xml:space="preserve"> </w:t>
      </w:r>
      <w:proofErr w:type="spellStart"/>
      <w:r w:rsidRPr="006A2BAB">
        <w:rPr>
          <w:color w:val="000000" w:themeColor="text1"/>
          <w:lang w:val="en-US"/>
        </w:rPr>
        <w:t>kanalet</w:t>
      </w:r>
      <w:proofErr w:type="spellEnd"/>
      <w:r w:rsidRPr="006A2BAB">
        <w:rPr>
          <w:color w:val="000000" w:themeColor="text1"/>
          <w:lang w:val="en-US"/>
        </w:rPr>
        <w:t xml:space="preserve"> </w:t>
      </w:r>
      <w:proofErr w:type="spellStart"/>
      <w:r w:rsidRPr="006A2BAB">
        <w:rPr>
          <w:color w:val="000000" w:themeColor="text1"/>
          <w:lang w:val="en-US"/>
        </w:rPr>
        <w:t>audiovizuale</w:t>
      </w:r>
      <w:proofErr w:type="spellEnd"/>
    </w:p>
    <w:p w:rsidR="008663E7" w:rsidRPr="006A2BAB" w:rsidRDefault="008663E7" w:rsidP="008663E7">
      <w:pPr>
        <w:pStyle w:val="NoSpacing"/>
        <w:spacing w:line="276" w:lineRule="auto"/>
        <w:jc w:val="both"/>
        <w:rPr>
          <w:rFonts w:ascii="Times New Roman" w:hAnsi="Times New Roman"/>
          <w:sz w:val="24"/>
          <w:szCs w:val="24"/>
          <w:lang w:val="en-GB" w:eastAsia="en-GB"/>
        </w:rPr>
      </w:pPr>
      <w:r w:rsidRPr="006A2BAB">
        <w:rPr>
          <w:rFonts w:ascii="Times New Roman" w:hAnsi="Times New Roman"/>
          <w:sz w:val="24"/>
          <w:szCs w:val="24"/>
          <w:shd w:val="clear" w:color="auto" w:fill="FFFFFF"/>
        </w:rPr>
        <w:t>Zyra e Komisionerit për të Drejtën e Informimit dhe Mbrojtjen e të Dhënave Personale zbatoi me Qendrën Shqiptare për Zhvillim të Qendrueshëm (ASDO), me mbështetjen e Ambasadës Zvicerane në Tiranë, projektin </w:t>
      </w:r>
      <w:r w:rsidRPr="006A2BAB">
        <w:rPr>
          <w:rStyle w:val="Emphasis"/>
          <w:rFonts w:ascii="Times New Roman" w:hAnsi="Times New Roman"/>
          <w:i w:val="0"/>
          <w:sz w:val="24"/>
          <w:szCs w:val="24"/>
          <w:bdr w:val="none" w:sz="0" w:space="0" w:color="auto" w:frame="1"/>
          <w:shd w:val="clear" w:color="auto" w:fill="FFFFFF"/>
        </w:rPr>
        <w:t>“Siguria kibernetike dhe mbrojtja e të dhënave në Shqipëri”</w:t>
      </w:r>
      <w:r w:rsidRPr="006A2BAB">
        <w:rPr>
          <w:rFonts w:ascii="Times New Roman" w:hAnsi="Times New Roman"/>
          <w:sz w:val="24"/>
          <w:szCs w:val="24"/>
          <w:shd w:val="clear" w:color="auto" w:fill="FFFFFF"/>
        </w:rPr>
        <w:t>. Në ceremoninë e mbylljes së tij u theksua qasja ndërgjegjësuese, si një nga mënyrat efikase për forcimin e kulturës së respektimit të të drejtave dhe lirive themelore të qytetarëve.</w:t>
      </w:r>
    </w:p>
    <w:p w:rsidR="008663E7" w:rsidRPr="006A2BAB" w:rsidRDefault="008663E7" w:rsidP="008663E7">
      <w:pPr>
        <w:spacing w:line="276" w:lineRule="auto"/>
        <w:jc w:val="both"/>
        <w:rPr>
          <w:color w:val="000000" w:themeColor="text1"/>
          <w:shd w:val="clear" w:color="auto" w:fill="FFFFFF"/>
        </w:rPr>
      </w:pPr>
      <w:r w:rsidRPr="006A2BAB">
        <w:rPr>
          <w:color w:val="000000" w:themeColor="text1"/>
          <w:shd w:val="clear" w:color="auto" w:fill="FFFFFF"/>
        </w:rPr>
        <w:t>Në kuadër të zbatimit të Marrëveshjes së Bashkëpunimit midis Zyrës së Komisionerit për të Drejtën e Informimit dhe Mbrojtjen e të Dhënave Personale dhe Agjencisë për Informim dhe Privatësi të Kosovës (AIP), u zhvillua takimi i dytë me pjesëmarrjen e stafeve përkatës, që kishte për qëllim forcimin e bashkëpunimit profesional, shkëmbimin/diskutimin e rasteve nga praktika administrative, si dhe planifikimin e nismave për të ardhmen.</w:t>
      </w:r>
    </w:p>
    <w:p w:rsidR="008663E7" w:rsidRPr="006A2BAB" w:rsidRDefault="008663E7" w:rsidP="008663E7">
      <w:pPr>
        <w:spacing w:line="276" w:lineRule="auto"/>
        <w:jc w:val="both"/>
      </w:pPr>
      <w:r w:rsidRPr="006A2BAB">
        <w:t>Zyra e Komisionerit në bashkëpunim me Komisionin Qëndror të Zgjedhjeve organizuan aktivitetin mbi prezantimin e Udhëzuesit “</w:t>
      </w:r>
      <w:r w:rsidRPr="006A2BAB">
        <w:rPr>
          <w:iCs/>
        </w:rPr>
        <w:t>Për përpunimin e të dhënave personale në kontekstin e fushatave zgjedhore</w:t>
      </w:r>
      <w:r w:rsidRPr="006A2BAB">
        <w:t>”, në të cilin të pranishëm ishin përfaqësues të institucioneve të pavarura, organizatave të shoqërisë civile dhe medias. Ky dokument kishte për qëllim të orientonte subjektet zgjedhore mbi mënyrën se si të garantonin mbrojtjen e të dhënave personale të votuesve gjatë periudhës së fushatës zgjedhore.</w:t>
      </w:r>
    </w:p>
    <w:p w:rsidR="008663E7" w:rsidRPr="006A2BAB" w:rsidRDefault="008663E7" w:rsidP="008663E7">
      <w:pPr>
        <w:spacing w:line="276" w:lineRule="auto"/>
        <w:jc w:val="both"/>
      </w:pPr>
    </w:p>
    <w:p w:rsidR="008663E7" w:rsidRPr="006A2BAB" w:rsidRDefault="008663E7" w:rsidP="008663E7">
      <w:pPr>
        <w:pStyle w:val="NoSpacing"/>
        <w:spacing w:line="276" w:lineRule="auto"/>
        <w:jc w:val="both"/>
        <w:rPr>
          <w:rFonts w:ascii="Times New Roman" w:hAnsi="Times New Roman"/>
          <w:sz w:val="24"/>
          <w:szCs w:val="24"/>
          <w:lang w:val="sq-AL"/>
        </w:rPr>
      </w:pPr>
      <w:proofErr w:type="spellStart"/>
      <w:r w:rsidRPr="006A2BAB">
        <w:rPr>
          <w:rFonts w:ascii="Times New Roman" w:hAnsi="Times New Roman"/>
          <w:sz w:val="24"/>
          <w:szCs w:val="24"/>
          <w:lang w:val="en-GB" w:eastAsia="en-GB"/>
        </w:rPr>
        <w:t>Në</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bashkëpunim</w:t>
      </w:r>
      <w:proofErr w:type="spellEnd"/>
      <w:r w:rsidRPr="006A2BAB">
        <w:rPr>
          <w:rFonts w:ascii="Times New Roman" w:hAnsi="Times New Roman"/>
          <w:sz w:val="24"/>
          <w:szCs w:val="24"/>
          <w:lang w:val="en-GB" w:eastAsia="en-GB"/>
        </w:rPr>
        <w:t xml:space="preserve"> me </w:t>
      </w:r>
      <w:r w:rsidRPr="006A2BAB">
        <w:rPr>
          <w:rFonts w:ascii="Times New Roman" w:hAnsi="Times New Roman"/>
          <w:sz w:val="24"/>
          <w:szCs w:val="24"/>
          <w:lang w:val="sq-AL"/>
        </w:rPr>
        <w:t>Prezencë</w:t>
      </w:r>
      <w:r w:rsidRPr="006A2BAB">
        <w:rPr>
          <w:rFonts w:ascii="Times New Roman" w:hAnsi="Times New Roman"/>
          <w:sz w:val="24"/>
          <w:szCs w:val="24"/>
        </w:rPr>
        <w:t>n</w:t>
      </w:r>
      <w:r w:rsidRPr="006A2BAB">
        <w:rPr>
          <w:rFonts w:ascii="Times New Roman" w:hAnsi="Times New Roman"/>
          <w:sz w:val="24"/>
          <w:szCs w:val="24"/>
          <w:lang w:val="sq-AL"/>
        </w:rPr>
        <w:t xml:space="preserve"> në Shqipëri të Organizatës për Siguri dhe Bashkëpunim në Evropë (OSBE), </w:t>
      </w:r>
      <w:r w:rsidRPr="006A2BAB">
        <w:rPr>
          <w:rFonts w:ascii="Times New Roman" w:hAnsi="Times New Roman"/>
          <w:sz w:val="24"/>
          <w:szCs w:val="24"/>
        </w:rPr>
        <w:t xml:space="preserve">Zyra e Komisionerit ka nisur projektin </w:t>
      </w:r>
      <w:proofErr w:type="gramStart"/>
      <w:r w:rsidRPr="006A2BAB">
        <w:rPr>
          <w:rFonts w:ascii="Times New Roman" w:hAnsi="Times New Roman"/>
          <w:sz w:val="24"/>
          <w:szCs w:val="24"/>
        </w:rPr>
        <w:t xml:space="preserve">“ </w:t>
      </w:r>
      <w:proofErr w:type="spellStart"/>
      <w:r w:rsidRPr="006A2BAB">
        <w:rPr>
          <w:rFonts w:ascii="Times New Roman" w:hAnsi="Times New Roman"/>
          <w:sz w:val="24"/>
          <w:szCs w:val="24"/>
          <w:lang w:val="en-GB" w:eastAsia="en-GB"/>
        </w:rPr>
        <w:t>Takime</w:t>
      </w:r>
      <w:proofErr w:type="spellEnd"/>
      <w:proofErr w:type="gram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njohëse</w:t>
      </w:r>
      <w:proofErr w:type="spellEnd"/>
      <w:r w:rsidRPr="006A2BAB">
        <w:rPr>
          <w:rFonts w:ascii="Times New Roman" w:hAnsi="Times New Roman"/>
          <w:sz w:val="24"/>
          <w:szCs w:val="24"/>
          <w:lang w:val="en-GB" w:eastAsia="en-GB"/>
        </w:rPr>
        <w:t xml:space="preserve"> e </w:t>
      </w:r>
      <w:proofErr w:type="spellStart"/>
      <w:r w:rsidRPr="006A2BAB">
        <w:rPr>
          <w:rFonts w:ascii="Times New Roman" w:hAnsi="Times New Roman"/>
          <w:sz w:val="24"/>
          <w:szCs w:val="24"/>
          <w:lang w:val="en-GB" w:eastAsia="en-GB"/>
        </w:rPr>
        <w:lastRenderedPageBreak/>
        <w:t>ndërgjegjësues</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për</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zbatimin</w:t>
      </w:r>
      <w:proofErr w:type="spellEnd"/>
      <w:r w:rsidRPr="006A2BAB">
        <w:rPr>
          <w:rFonts w:ascii="Times New Roman" w:hAnsi="Times New Roman"/>
          <w:sz w:val="24"/>
          <w:szCs w:val="24"/>
          <w:lang w:val="en-GB" w:eastAsia="en-GB"/>
        </w:rPr>
        <w:t xml:space="preserve"> e </w:t>
      </w:r>
      <w:proofErr w:type="spellStart"/>
      <w:r w:rsidRPr="006A2BAB">
        <w:rPr>
          <w:rFonts w:ascii="Times New Roman" w:hAnsi="Times New Roman"/>
          <w:sz w:val="24"/>
          <w:szCs w:val="24"/>
          <w:lang w:val="en-GB" w:eastAsia="en-GB"/>
        </w:rPr>
        <w:t>detyrimeve</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të</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legjislacionit</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për</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të</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drejtën</w:t>
      </w:r>
      <w:proofErr w:type="spellEnd"/>
      <w:r w:rsidRPr="006A2BAB">
        <w:rPr>
          <w:rFonts w:ascii="Times New Roman" w:hAnsi="Times New Roman"/>
          <w:sz w:val="24"/>
          <w:szCs w:val="24"/>
          <w:lang w:val="en-GB" w:eastAsia="en-GB"/>
        </w:rPr>
        <w:t xml:space="preserve"> e </w:t>
      </w:r>
      <w:proofErr w:type="spellStart"/>
      <w:r w:rsidRPr="006A2BAB">
        <w:rPr>
          <w:rFonts w:ascii="Times New Roman" w:hAnsi="Times New Roman"/>
          <w:sz w:val="24"/>
          <w:szCs w:val="24"/>
          <w:lang w:val="en-GB" w:eastAsia="en-GB"/>
        </w:rPr>
        <w:t>informimit</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dhe</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atij</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për</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mbrojtjen</w:t>
      </w:r>
      <w:proofErr w:type="spellEnd"/>
      <w:r w:rsidRPr="006A2BAB">
        <w:rPr>
          <w:rFonts w:ascii="Times New Roman" w:hAnsi="Times New Roman"/>
          <w:sz w:val="24"/>
          <w:szCs w:val="24"/>
          <w:lang w:val="en-GB" w:eastAsia="en-GB"/>
        </w:rPr>
        <w:t xml:space="preserve"> e </w:t>
      </w:r>
      <w:proofErr w:type="spellStart"/>
      <w:r w:rsidRPr="006A2BAB">
        <w:rPr>
          <w:rFonts w:ascii="Times New Roman" w:hAnsi="Times New Roman"/>
          <w:sz w:val="24"/>
          <w:szCs w:val="24"/>
          <w:lang w:val="en-GB" w:eastAsia="en-GB"/>
        </w:rPr>
        <w:t>të</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dhënave</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personale</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dhe</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risite</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qe</w:t>
      </w:r>
      <w:proofErr w:type="spellEnd"/>
      <w:r w:rsidRPr="006A2BAB">
        <w:rPr>
          <w:rFonts w:ascii="Times New Roman" w:hAnsi="Times New Roman"/>
          <w:sz w:val="24"/>
          <w:szCs w:val="24"/>
          <w:lang w:val="en-GB" w:eastAsia="en-GB"/>
        </w:rPr>
        <w:t xml:space="preserve"> do </w:t>
      </w:r>
      <w:proofErr w:type="spellStart"/>
      <w:r w:rsidRPr="006A2BAB">
        <w:rPr>
          <w:rFonts w:ascii="Times New Roman" w:hAnsi="Times New Roman"/>
          <w:sz w:val="24"/>
          <w:szCs w:val="24"/>
          <w:lang w:val="en-GB" w:eastAsia="en-GB"/>
        </w:rPr>
        <w:t>te</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sjellin</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ndryshimet</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ligjore</w:t>
      </w:r>
      <w:proofErr w:type="spellEnd"/>
      <w:r w:rsidRPr="006A2BAB">
        <w:rPr>
          <w:rFonts w:ascii="Times New Roman" w:hAnsi="Times New Roman"/>
          <w:sz w:val="24"/>
          <w:szCs w:val="24"/>
          <w:lang w:val="en-GB" w:eastAsia="en-GB"/>
        </w:rPr>
        <w:t>”</w:t>
      </w:r>
      <w:r w:rsidRPr="006A2BAB">
        <w:rPr>
          <w:rFonts w:ascii="Times New Roman" w:hAnsi="Times New Roman"/>
          <w:sz w:val="24"/>
          <w:szCs w:val="24"/>
          <w:lang w:val="sq-AL"/>
        </w:rPr>
        <w:t xml:space="preserve">, </w:t>
      </w:r>
      <w:proofErr w:type="spellStart"/>
      <w:r w:rsidRPr="006A2BAB">
        <w:rPr>
          <w:rFonts w:ascii="Times New Roman" w:hAnsi="Times New Roman"/>
          <w:sz w:val="24"/>
          <w:szCs w:val="24"/>
          <w:lang w:val="en-GB" w:eastAsia="en-GB"/>
        </w:rPr>
        <w:t>në</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disa</w:t>
      </w:r>
      <w:proofErr w:type="spellEnd"/>
      <w:r w:rsidRPr="006A2BAB">
        <w:rPr>
          <w:rFonts w:ascii="Times New Roman" w:hAnsi="Times New Roman"/>
          <w:sz w:val="24"/>
          <w:szCs w:val="24"/>
          <w:lang w:val="en-GB" w:eastAsia="en-GB"/>
        </w:rPr>
        <w:t xml:space="preserve"> </w:t>
      </w:r>
      <w:proofErr w:type="spellStart"/>
      <w:r w:rsidRPr="006A2BAB">
        <w:rPr>
          <w:rFonts w:ascii="Times New Roman" w:hAnsi="Times New Roman"/>
          <w:sz w:val="24"/>
          <w:szCs w:val="24"/>
          <w:lang w:val="en-GB" w:eastAsia="en-GB"/>
        </w:rPr>
        <w:t>qarqe</w:t>
      </w:r>
      <w:proofErr w:type="spellEnd"/>
      <w:r w:rsidRPr="006A2BAB">
        <w:rPr>
          <w:rFonts w:ascii="Times New Roman" w:hAnsi="Times New Roman"/>
          <w:sz w:val="24"/>
          <w:szCs w:val="24"/>
          <w:lang w:val="en-GB" w:eastAsia="en-GB"/>
        </w:rPr>
        <w:t xml:space="preserve">,  e </w:t>
      </w:r>
      <w:proofErr w:type="spellStart"/>
      <w:r w:rsidRPr="006A2BAB">
        <w:rPr>
          <w:rFonts w:ascii="Times New Roman" w:hAnsi="Times New Roman"/>
          <w:sz w:val="24"/>
          <w:szCs w:val="24"/>
          <w:lang w:val="en-GB" w:eastAsia="en-GB"/>
        </w:rPr>
        <w:t>cila</w:t>
      </w:r>
      <w:proofErr w:type="spellEnd"/>
      <w:r w:rsidRPr="006A2BAB">
        <w:rPr>
          <w:rFonts w:ascii="Times New Roman" w:hAnsi="Times New Roman"/>
          <w:sz w:val="24"/>
          <w:szCs w:val="24"/>
          <w:lang w:val="en-GB" w:eastAsia="en-GB"/>
        </w:rPr>
        <w:t xml:space="preserve"> nisi me </w:t>
      </w:r>
      <w:proofErr w:type="spellStart"/>
      <w:r w:rsidRPr="006A2BAB">
        <w:rPr>
          <w:rFonts w:ascii="Times New Roman" w:hAnsi="Times New Roman"/>
          <w:sz w:val="24"/>
          <w:szCs w:val="24"/>
          <w:lang w:val="en-GB" w:eastAsia="en-GB"/>
        </w:rPr>
        <w:t>qytetin</w:t>
      </w:r>
      <w:proofErr w:type="spellEnd"/>
      <w:r w:rsidRPr="006A2BAB">
        <w:rPr>
          <w:rFonts w:ascii="Times New Roman" w:hAnsi="Times New Roman"/>
          <w:sz w:val="24"/>
          <w:szCs w:val="24"/>
          <w:lang w:val="en-GB" w:eastAsia="en-GB"/>
        </w:rPr>
        <w:t xml:space="preserve"> e </w:t>
      </w:r>
      <w:proofErr w:type="spellStart"/>
      <w:r w:rsidRPr="006A2BAB">
        <w:rPr>
          <w:rFonts w:ascii="Times New Roman" w:hAnsi="Times New Roman"/>
          <w:sz w:val="24"/>
          <w:szCs w:val="24"/>
          <w:lang w:val="en-GB" w:eastAsia="en-GB"/>
        </w:rPr>
        <w:t>Gjirokastrës</w:t>
      </w:r>
      <w:proofErr w:type="spellEnd"/>
      <w:r w:rsidRPr="006A2BAB">
        <w:rPr>
          <w:rFonts w:ascii="Times New Roman" w:hAnsi="Times New Roman"/>
          <w:sz w:val="24"/>
          <w:szCs w:val="24"/>
          <w:lang w:val="en-GB" w:eastAsia="en-GB"/>
        </w:rPr>
        <w:t xml:space="preserve">.   </w:t>
      </w:r>
      <w:r w:rsidRPr="006A2BAB">
        <w:rPr>
          <w:rFonts w:ascii="Times New Roman" w:hAnsi="Times New Roman"/>
          <w:sz w:val="24"/>
          <w:szCs w:val="24"/>
        </w:rPr>
        <w:t>Një aktivitet me 3 komponentë: për ndërgjegjësimin e qytetarëve, takim me përfaqësues të institucioneve që ushtrojnë veprimtarinë në këtë qark, si dhe shkëmbimin e praktikës së mirë në kuadër të transparencës me publikun.</w:t>
      </w:r>
    </w:p>
    <w:p w:rsidR="008C2B55" w:rsidRPr="006A2BAB" w:rsidRDefault="00FA4FDF" w:rsidP="008663E7">
      <w:pPr>
        <w:spacing w:line="276" w:lineRule="auto"/>
        <w:jc w:val="both"/>
        <w:rPr>
          <w:color w:val="0D0D0D" w:themeColor="text1" w:themeTint="F2"/>
        </w:rPr>
      </w:pPr>
      <w:r w:rsidRPr="006A2BAB">
        <w:rPr>
          <w:b/>
          <w:color w:val="0D0D0D" w:themeColor="text1" w:themeTint="F2"/>
        </w:rPr>
        <w:t xml:space="preserve"> </w:t>
      </w:r>
      <w:r w:rsidR="008663E7" w:rsidRPr="006A2BAB">
        <w:rPr>
          <w:color w:val="666666"/>
          <w:shd w:val="clear" w:color="auto" w:fill="FFFFFF"/>
        </w:rPr>
        <w:t xml:space="preserve"> </w:t>
      </w:r>
    </w:p>
    <w:p w:rsidR="008663E7" w:rsidRPr="006A2BAB" w:rsidRDefault="00AE7FED" w:rsidP="008663E7">
      <w:pPr>
        <w:pStyle w:val="NormalWeb"/>
        <w:shd w:val="clear" w:color="auto" w:fill="FFFFFF"/>
        <w:spacing w:before="0" w:beforeAutospacing="0" w:after="0" w:afterAutospacing="0" w:line="276" w:lineRule="auto"/>
        <w:jc w:val="both"/>
        <w:textAlignment w:val="baseline"/>
        <w:rPr>
          <w:shd w:val="clear" w:color="auto" w:fill="FFFFFF"/>
        </w:rPr>
      </w:pPr>
      <w:r w:rsidRPr="006A2BAB">
        <w:rPr>
          <w:shd w:val="clear" w:color="auto" w:fill="FFFFFF"/>
        </w:rPr>
        <w:t xml:space="preserve"> </w:t>
      </w:r>
      <w:proofErr w:type="spellStart"/>
      <w:r w:rsidR="008663E7" w:rsidRPr="006A2BAB">
        <w:rPr>
          <w:color w:val="0D0D0D"/>
        </w:rPr>
        <w:t>Një</w:t>
      </w:r>
      <w:proofErr w:type="spellEnd"/>
      <w:r w:rsidR="008663E7" w:rsidRPr="006A2BAB">
        <w:rPr>
          <w:color w:val="0D0D0D"/>
        </w:rPr>
        <w:t xml:space="preserve"> </w:t>
      </w:r>
      <w:proofErr w:type="spellStart"/>
      <w:r w:rsidR="008663E7" w:rsidRPr="006A2BAB">
        <w:rPr>
          <w:color w:val="0D0D0D"/>
        </w:rPr>
        <w:t>tjetër</w:t>
      </w:r>
      <w:proofErr w:type="spellEnd"/>
      <w:r w:rsidR="008663E7" w:rsidRPr="006A2BAB">
        <w:rPr>
          <w:color w:val="0D0D0D"/>
        </w:rPr>
        <w:t xml:space="preserve"> </w:t>
      </w:r>
      <w:proofErr w:type="spellStart"/>
      <w:r w:rsidR="008663E7" w:rsidRPr="006A2BAB">
        <w:rPr>
          <w:color w:val="0D0D0D"/>
        </w:rPr>
        <w:t>aktivitet</w:t>
      </w:r>
      <w:proofErr w:type="spellEnd"/>
      <w:r w:rsidR="008663E7" w:rsidRPr="006A2BAB">
        <w:rPr>
          <w:color w:val="0D0D0D"/>
        </w:rPr>
        <w:t xml:space="preserve"> </w:t>
      </w:r>
      <w:proofErr w:type="spellStart"/>
      <w:r w:rsidR="008663E7" w:rsidRPr="006A2BAB">
        <w:rPr>
          <w:color w:val="0D0D0D"/>
        </w:rPr>
        <w:t>që</w:t>
      </w:r>
      <w:proofErr w:type="spellEnd"/>
      <w:r w:rsidR="008663E7" w:rsidRPr="006A2BAB">
        <w:rPr>
          <w:color w:val="0D0D0D"/>
        </w:rPr>
        <w:t xml:space="preserve"> </w:t>
      </w:r>
      <w:proofErr w:type="spellStart"/>
      <w:r w:rsidR="008663E7" w:rsidRPr="006A2BAB">
        <w:rPr>
          <w:color w:val="0D0D0D"/>
        </w:rPr>
        <w:t>mbështet</w:t>
      </w:r>
      <w:proofErr w:type="spellEnd"/>
      <w:r w:rsidR="008663E7" w:rsidRPr="006A2BAB">
        <w:rPr>
          <w:color w:val="0D0D0D"/>
        </w:rPr>
        <w:t xml:space="preserve"> </w:t>
      </w:r>
      <w:proofErr w:type="spellStart"/>
      <w:r w:rsidR="008663E7" w:rsidRPr="006A2BAB">
        <w:rPr>
          <w:color w:val="0D0D0D"/>
        </w:rPr>
        <w:t>të</w:t>
      </w:r>
      <w:proofErr w:type="spellEnd"/>
      <w:r w:rsidR="008663E7" w:rsidRPr="006A2BAB">
        <w:rPr>
          <w:color w:val="0D0D0D"/>
        </w:rPr>
        <w:t xml:space="preserve"> </w:t>
      </w:r>
      <w:proofErr w:type="spellStart"/>
      <w:r w:rsidR="008663E7" w:rsidRPr="006A2BAB">
        <w:rPr>
          <w:color w:val="0D0D0D"/>
        </w:rPr>
        <w:t>dy</w:t>
      </w:r>
      <w:proofErr w:type="spellEnd"/>
      <w:r w:rsidR="008663E7" w:rsidRPr="006A2BAB">
        <w:rPr>
          <w:color w:val="0D0D0D"/>
        </w:rPr>
        <w:t xml:space="preserve"> </w:t>
      </w:r>
      <w:proofErr w:type="spellStart"/>
      <w:r w:rsidR="008663E7" w:rsidRPr="006A2BAB">
        <w:rPr>
          <w:color w:val="0D0D0D"/>
        </w:rPr>
        <w:t>shtyllat</w:t>
      </w:r>
      <w:proofErr w:type="spellEnd"/>
      <w:r w:rsidR="008663E7" w:rsidRPr="006A2BAB">
        <w:rPr>
          <w:color w:val="0D0D0D"/>
        </w:rPr>
        <w:t xml:space="preserve"> </w:t>
      </w:r>
      <w:proofErr w:type="spellStart"/>
      <w:r w:rsidR="008663E7" w:rsidRPr="006A2BAB">
        <w:rPr>
          <w:color w:val="0D0D0D"/>
        </w:rPr>
        <w:t>për</w:t>
      </w:r>
      <w:proofErr w:type="spellEnd"/>
      <w:r w:rsidR="008663E7" w:rsidRPr="006A2BAB">
        <w:rPr>
          <w:color w:val="0D0D0D"/>
        </w:rPr>
        <w:t xml:space="preserve"> </w:t>
      </w:r>
      <w:proofErr w:type="spellStart"/>
      <w:r w:rsidR="008663E7" w:rsidRPr="006A2BAB">
        <w:rPr>
          <w:color w:val="0D0D0D"/>
        </w:rPr>
        <w:t>garantimin</w:t>
      </w:r>
      <w:proofErr w:type="spellEnd"/>
      <w:r w:rsidR="008663E7" w:rsidRPr="006A2BAB">
        <w:rPr>
          <w:color w:val="0D0D0D"/>
        </w:rPr>
        <w:t xml:space="preserve"> e </w:t>
      </w:r>
      <w:proofErr w:type="spellStart"/>
      <w:r w:rsidR="008663E7" w:rsidRPr="006A2BAB">
        <w:rPr>
          <w:color w:val="0D0D0D"/>
        </w:rPr>
        <w:t>dy</w:t>
      </w:r>
      <w:proofErr w:type="spellEnd"/>
      <w:r w:rsidR="008663E7" w:rsidRPr="006A2BAB">
        <w:rPr>
          <w:color w:val="0D0D0D"/>
        </w:rPr>
        <w:t xml:space="preserve"> </w:t>
      </w:r>
      <w:proofErr w:type="spellStart"/>
      <w:r w:rsidR="008663E7" w:rsidRPr="006A2BAB">
        <w:rPr>
          <w:color w:val="0D0D0D"/>
        </w:rPr>
        <w:t>të</w:t>
      </w:r>
      <w:proofErr w:type="spellEnd"/>
      <w:r w:rsidR="008663E7" w:rsidRPr="006A2BAB">
        <w:rPr>
          <w:color w:val="0D0D0D"/>
        </w:rPr>
        <w:t xml:space="preserve"> </w:t>
      </w:r>
      <w:proofErr w:type="spellStart"/>
      <w:r w:rsidR="008663E7" w:rsidRPr="006A2BAB">
        <w:rPr>
          <w:color w:val="0D0D0D"/>
        </w:rPr>
        <w:t>drejtave</w:t>
      </w:r>
      <w:proofErr w:type="spellEnd"/>
      <w:r w:rsidR="008663E7" w:rsidRPr="006A2BAB">
        <w:rPr>
          <w:color w:val="0D0D0D"/>
        </w:rPr>
        <w:t xml:space="preserve"> </w:t>
      </w:r>
      <w:proofErr w:type="spellStart"/>
      <w:r w:rsidR="008663E7" w:rsidRPr="006A2BAB">
        <w:rPr>
          <w:b/>
          <w:color w:val="0D0D0D"/>
        </w:rPr>
        <w:t>është</w:t>
      </w:r>
      <w:proofErr w:type="spellEnd"/>
      <w:r w:rsidR="008663E7" w:rsidRPr="006A2BAB">
        <w:rPr>
          <w:b/>
          <w:color w:val="0D0D0D"/>
        </w:rPr>
        <w:t xml:space="preserve"> </w:t>
      </w:r>
      <w:proofErr w:type="spellStart"/>
      <w:r w:rsidR="008663E7" w:rsidRPr="006A2BAB">
        <w:rPr>
          <w:b/>
          <w:color w:val="0D0D0D"/>
        </w:rPr>
        <w:t>Shërbimi</w:t>
      </w:r>
      <w:proofErr w:type="spellEnd"/>
      <w:r w:rsidR="008663E7" w:rsidRPr="006A2BAB">
        <w:rPr>
          <w:b/>
          <w:color w:val="0D0D0D"/>
        </w:rPr>
        <w:t xml:space="preserve"> </w:t>
      </w:r>
      <w:proofErr w:type="spellStart"/>
      <w:r w:rsidR="008663E7" w:rsidRPr="006A2BAB">
        <w:rPr>
          <w:b/>
          <w:color w:val="0D0D0D"/>
        </w:rPr>
        <w:t>ligjor</w:t>
      </w:r>
      <w:proofErr w:type="spellEnd"/>
      <w:r w:rsidR="008663E7" w:rsidRPr="006A2BAB">
        <w:rPr>
          <w:b/>
          <w:color w:val="0D0D0D"/>
        </w:rPr>
        <w:t>,</w:t>
      </w:r>
      <w:r w:rsidR="008663E7" w:rsidRPr="006A2BAB">
        <w:rPr>
          <w:color w:val="0D0D0D"/>
        </w:rPr>
        <w:t xml:space="preserve"> </w:t>
      </w:r>
      <w:proofErr w:type="spellStart"/>
      <w:r w:rsidR="008663E7" w:rsidRPr="006A2BAB">
        <w:rPr>
          <w:color w:val="0D0D0D"/>
        </w:rPr>
        <w:t>edhe</w:t>
      </w:r>
      <w:proofErr w:type="spellEnd"/>
      <w:r w:rsidR="008663E7" w:rsidRPr="006A2BAB">
        <w:rPr>
          <w:color w:val="0D0D0D"/>
        </w:rPr>
        <w:t xml:space="preserve"> </w:t>
      </w:r>
      <w:proofErr w:type="spellStart"/>
      <w:r w:rsidR="008663E7" w:rsidRPr="006A2BAB">
        <w:rPr>
          <w:color w:val="0D0D0D"/>
        </w:rPr>
        <w:t>pse</w:t>
      </w:r>
      <w:proofErr w:type="spellEnd"/>
      <w:r w:rsidR="008663E7" w:rsidRPr="006A2BAB">
        <w:rPr>
          <w:color w:val="0D0D0D"/>
        </w:rPr>
        <w:t xml:space="preserve"> </w:t>
      </w:r>
      <w:proofErr w:type="spellStart"/>
      <w:r w:rsidR="008663E7" w:rsidRPr="006A2BAB">
        <w:rPr>
          <w:color w:val="0D0D0D"/>
        </w:rPr>
        <w:t>në</w:t>
      </w:r>
      <w:proofErr w:type="spellEnd"/>
      <w:r w:rsidR="008663E7" w:rsidRPr="006A2BAB">
        <w:rPr>
          <w:color w:val="0D0D0D"/>
        </w:rPr>
        <w:t xml:space="preserve"> </w:t>
      </w:r>
      <w:proofErr w:type="spellStart"/>
      <w:r w:rsidR="008663E7" w:rsidRPr="006A2BAB">
        <w:rPr>
          <w:color w:val="0D0D0D"/>
        </w:rPr>
        <w:t>vitet</w:t>
      </w:r>
      <w:proofErr w:type="spellEnd"/>
      <w:r w:rsidR="008663E7" w:rsidRPr="006A2BAB">
        <w:rPr>
          <w:color w:val="0D0D0D"/>
        </w:rPr>
        <w:t xml:space="preserve"> e </w:t>
      </w:r>
      <w:proofErr w:type="spellStart"/>
      <w:r w:rsidR="008663E7" w:rsidRPr="006A2BAB">
        <w:rPr>
          <w:color w:val="0D0D0D"/>
        </w:rPr>
        <w:t>kaluara</w:t>
      </w:r>
      <w:proofErr w:type="spellEnd"/>
      <w:r w:rsidR="008663E7" w:rsidRPr="006A2BAB">
        <w:rPr>
          <w:color w:val="0D0D0D"/>
        </w:rPr>
        <w:t xml:space="preserve"> </w:t>
      </w:r>
      <w:proofErr w:type="spellStart"/>
      <w:r w:rsidR="008663E7" w:rsidRPr="006A2BAB">
        <w:rPr>
          <w:color w:val="0D0D0D"/>
        </w:rPr>
        <w:t>janë</w:t>
      </w:r>
      <w:proofErr w:type="spellEnd"/>
      <w:r w:rsidR="008663E7" w:rsidRPr="006A2BAB">
        <w:rPr>
          <w:color w:val="0D0D0D"/>
        </w:rPr>
        <w:t xml:space="preserve"> </w:t>
      </w:r>
      <w:proofErr w:type="spellStart"/>
      <w:r w:rsidR="008663E7" w:rsidRPr="006A2BAB">
        <w:rPr>
          <w:color w:val="0D0D0D"/>
        </w:rPr>
        <w:t>trajtuar</w:t>
      </w:r>
      <w:proofErr w:type="spellEnd"/>
      <w:r w:rsidR="008663E7" w:rsidRPr="006A2BAB">
        <w:rPr>
          <w:color w:val="0D0D0D"/>
        </w:rPr>
        <w:t xml:space="preserve"> </w:t>
      </w:r>
      <w:proofErr w:type="spellStart"/>
      <w:r w:rsidR="008663E7" w:rsidRPr="006A2BAB">
        <w:rPr>
          <w:color w:val="0D0D0D"/>
        </w:rPr>
        <w:t>si</w:t>
      </w:r>
      <w:proofErr w:type="spellEnd"/>
      <w:r w:rsidR="008663E7" w:rsidRPr="006A2BAB">
        <w:rPr>
          <w:color w:val="0D0D0D"/>
        </w:rPr>
        <w:t xml:space="preserve"> </w:t>
      </w:r>
      <w:proofErr w:type="spellStart"/>
      <w:r w:rsidR="008663E7" w:rsidRPr="006A2BAB">
        <w:rPr>
          <w:color w:val="0D0D0D"/>
        </w:rPr>
        <w:t>produkt</w:t>
      </w:r>
      <w:proofErr w:type="spellEnd"/>
      <w:r w:rsidR="008663E7" w:rsidRPr="006A2BAB">
        <w:rPr>
          <w:color w:val="0D0D0D"/>
        </w:rPr>
        <w:t xml:space="preserve"> </w:t>
      </w:r>
      <w:proofErr w:type="spellStart"/>
      <w:r w:rsidR="008663E7" w:rsidRPr="006A2BAB">
        <w:rPr>
          <w:color w:val="0D0D0D"/>
        </w:rPr>
        <w:t>më</w:t>
      </w:r>
      <w:proofErr w:type="spellEnd"/>
      <w:r w:rsidR="008663E7" w:rsidRPr="006A2BAB">
        <w:rPr>
          <w:color w:val="0D0D0D"/>
        </w:rPr>
        <w:t xml:space="preserve"> </w:t>
      </w:r>
      <w:proofErr w:type="spellStart"/>
      <w:r w:rsidR="008663E7" w:rsidRPr="006A2BAB">
        <w:rPr>
          <w:color w:val="0D0D0D"/>
        </w:rPr>
        <w:t>vete</w:t>
      </w:r>
      <w:proofErr w:type="spellEnd"/>
      <w:r w:rsidR="008663E7" w:rsidRPr="006A2BAB">
        <w:rPr>
          <w:color w:val="0D0D0D"/>
        </w:rPr>
        <w:t>.</w:t>
      </w:r>
    </w:p>
    <w:p w:rsidR="008A3C94" w:rsidRPr="006F140D" w:rsidRDefault="008A3C94" w:rsidP="008A3C94">
      <w:pPr>
        <w:tabs>
          <w:tab w:val="left" w:pos="142"/>
        </w:tabs>
        <w:ind w:right="206"/>
        <w:jc w:val="both"/>
        <w:rPr>
          <w:b/>
          <w:i/>
          <w:color w:val="000000"/>
        </w:rPr>
      </w:pPr>
      <w:r w:rsidRPr="006F140D">
        <w:rPr>
          <w:b/>
          <w:i/>
          <w:color w:val="000000"/>
        </w:rPr>
        <w:t xml:space="preserve">Hartimi i dokumenteve </w:t>
      </w:r>
    </w:p>
    <w:p w:rsidR="008A3C94" w:rsidRPr="006F140D" w:rsidRDefault="008A3C94" w:rsidP="008A3C94">
      <w:pPr>
        <w:pStyle w:val="ListParagraph"/>
        <w:numPr>
          <w:ilvl w:val="0"/>
          <w:numId w:val="20"/>
        </w:numPr>
        <w:spacing w:after="0"/>
        <w:ind w:left="360"/>
        <w:jc w:val="both"/>
        <w:rPr>
          <w:rFonts w:ascii="Times New Roman" w:hAnsi="Times New Roman"/>
          <w:sz w:val="24"/>
          <w:szCs w:val="24"/>
        </w:rPr>
      </w:pPr>
      <w:r w:rsidRPr="006F140D">
        <w:rPr>
          <w:rFonts w:ascii="Times New Roman" w:hAnsi="Times New Roman"/>
          <w:sz w:val="24"/>
          <w:szCs w:val="24"/>
        </w:rPr>
        <w:t>Është hartuar Raporti Vjetor 2022, mbi veprimtarinë e Zyrës së Komisionerit për të Drejtën e Informimit dhe Mbrojtjen e të Dhën</w:t>
      </w:r>
      <w:r>
        <w:rPr>
          <w:rFonts w:ascii="Times New Roman" w:hAnsi="Times New Roman"/>
          <w:sz w:val="24"/>
          <w:szCs w:val="24"/>
        </w:rPr>
        <w:t>ave Personale drejtuar Kuvendit;</w:t>
      </w:r>
    </w:p>
    <w:p w:rsidR="008A3C94" w:rsidRPr="006F140D" w:rsidRDefault="008A3C94" w:rsidP="008A3C94">
      <w:pPr>
        <w:pStyle w:val="ListParagraph"/>
        <w:numPr>
          <w:ilvl w:val="0"/>
          <w:numId w:val="20"/>
        </w:numPr>
        <w:ind w:left="360"/>
        <w:jc w:val="both"/>
        <w:rPr>
          <w:rFonts w:ascii="Times New Roman" w:hAnsi="Times New Roman"/>
          <w:sz w:val="24"/>
          <w:szCs w:val="24"/>
        </w:rPr>
      </w:pPr>
      <w:r w:rsidRPr="006F140D">
        <w:rPr>
          <w:rFonts w:ascii="Times New Roman" w:hAnsi="Times New Roman"/>
          <w:sz w:val="24"/>
          <w:szCs w:val="24"/>
        </w:rPr>
        <w:t>Është hartuar Programi i Punës për vitin 2023 i Zyrës së Komisionerit për të Drejtën e Informimit dhe Mbrojtjen e të Dhënave Personale</w:t>
      </w:r>
      <w:r>
        <w:rPr>
          <w:rFonts w:ascii="Times New Roman" w:hAnsi="Times New Roman"/>
          <w:sz w:val="24"/>
          <w:szCs w:val="24"/>
        </w:rPr>
        <w:t>;</w:t>
      </w:r>
    </w:p>
    <w:p w:rsidR="008A3C94" w:rsidRPr="00D779A2" w:rsidRDefault="008A3C94" w:rsidP="008A3C94">
      <w:pPr>
        <w:pStyle w:val="ListParagraph"/>
        <w:numPr>
          <w:ilvl w:val="0"/>
          <w:numId w:val="20"/>
        </w:numPr>
        <w:ind w:left="360"/>
        <w:jc w:val="both"/>
        <w:rPr>
          <w:rFonts w:ascii="Times New Roman" w:hAnsi="Times New Roman"/>
          <w:color w:val="000000" w:themeColor="text1"/>
          <w:sz w:val="24"/>
          <w:szCs w:val="24"/>
        </w:rPr>
      </w:pPr>
      <w:r w:rsidRPr="006F140D">
        <w:rPr>
          <w:rFonts w:ascii="Times New Roman" w:hAnsi="Times New Roman"/>
          <w:sz w:val="24"/>
          <w:szCs w:val="24"/>
        </w:rPr>
        <w:t xml:space="preserve">Është hartuar dhe botuar </w:t>
      </w:r>
      <w:r w:rsidRPr="006F140D">
        <w:rPr>
          <w:rFonts w:ascii="Times New Roman" w:hAnsi="Times New Roman"/>
          <w:color w:val="000000" w:themeColor="text1"/>
          <w:sz w:val="24"/>
          <w:szCs w:val="24"/>
          <w:shd w:val="clear" w:color="auto" w:fill="FFFFFF"/>
        </w:rPr>
        <w:t>Udhëzues “</w:t>
      </w:r>
      <w:r w:rsidRPr="006F140D">
        <w:rPr>
          <w:rStyle w:val="Emphasis"/>
          <w:color w:val="000000" w:themeColor="text1"/>
          <w:bdr w:val="none" w:sz="0" w:space="0" w:color="auto" w:frame="1"/>
          <w:shd w:val="clear" w:color="auto" w:fill="FFFFFF"/>
        </w:rPr>
        <w:t>Për përpunimin e të dhënave personale në kontekstin e fushatave zgjedhore</w:t>
      </w:r>
      <w:r>
        <w:rPr>
          <w:rFonts w:ascii="Times New Roman" w:hAnsi="Times New Roman"/>
          <w:color w:val="000000" w:themeColor="text1"/>
          <w:sz w:val="24"/>
          <w:szCs w:val="24"/>
          <w:shd w:val="clear" w:color="auto" w:fill="FFFFFF"/>
        </w:rPr>
        <w:t>”;</w:t>
      </w:r>
    </w:p>
    <w:p w:rsidR="008A3C94" w:rsidRPr="00D779A2" w:rsidRDefault="008A3C94" w:rsidP="008A3C94">
      <w:pPr>
        <w:pStyle w:val="ListParagraph"/>
        <w:numPr>
          <w:ilvl w:val="0"/>
          <w:numId w:val="20"/>
        </w:numPr>
        <w:ind w:left="360"/>
        <w:jc w:val="both"/>
        <w:rPr>
          <w:rFonts w:ascii="Times New Roman" w:hAnsi="Times New Roman"/>
          <w:color w:val="000000" w:themeColor="text1"/>
          <w:sz w:val="24"/>
          <w:szCs w:val="24"/>
        </w:rPr>
      </w:pPr>
      <w:r w:rsidRPr="00D779A2">
        <w:rPr>
          <w:rFonts w:ascii="Times New Roman" w:hAnsi="Times New Roman"/>
          <w:sz w:val="24"/>
          <w:szCs w:val="24"/>
        </w:rPr>
        <w:t>Është punuar mbi ndryshimet për rregulloren e brendshme të Zyrës së Komisionerit.</w:t>
      </w:r>
    </w:p>
    <w:p w:rsidR="008A3C94" w:rsidRPr="008B61C5" w:rsidRDefault="008A3C94" w:rsidP="008A3C94">
      <w:pPr>
        <w:pStyle w:val="ListParagraph"/>
        <w:numPr>
          <w:ilvl w:val="0"/>
          <w:numId w:val="20"/>
        </w:numPr>
        <w:ind w:left="360"/>
        <w:jc w:val="both"/>
        <w:rPr>
          <w:rFonts w:ascii="Times New Roman" w:hAnsi="Times New Roman"/>
          <w:color w:val="000000" w:themeColor="text1"/>
          <w:sz w:val="24"/>
          <w:szCs w:val="24"/>
        </w:rPr>
      </w:pPr>
      <w:r w:rsidRPr="008B61C5">
        <w:rPr>
          <w:rFonts w:ascii="Times New Roman" w:hAnsi="Times New Roman"/>
          <w:color w:val="0D0D0D"/>
          <w:sz w:val="24"/>
          <w:szCs w:val="24"/>
        </w:rPr>
        <w:t>Është punuar mbi komentet e projektligjit për “Mbrojtjen e të dhënave personale”.</w:t>
      </w:r>
    </w:p>
    <w:p w:rsidR="008A3C94" w:rsidRDefault="008A3C94" w:rsidP="008A3C94">
      <w:pPr>
        <w:pStyle w:val="ListParagraph"/>
        <w:numPr>
          <w:ilvl w:val="0"/>
          <w:numId w:val="20"/>
        </w:numPr>
        <w:ind w:left="360"/>
        <w:jc w:val="both"/>
        <w:rPr>
          <w:rFonts w:ascii="Times New Roman" w:hAnsi="Times New Roman"/>
          <w:color w:val="000000" w:themeColor="text1"/>
          <w:sz w:val="24"/>
          <w:szCs w:val="24"/>
        </w:rPr>
      </w:pPr>
      <w:r w:rsidRPr="008B61C5">
        <w:rPr>
          <w:rFonts w:ascii="Times New Roman" w:hAnsi="Times New Roman"/>
          <w:color w:val="000000" w:themeColor="text1"/>
          <w:sz w:val="24"/>
          <w:szCs w:val="24"/>
        </w:rPr>
        <w:t>Është punuar dhe është dhënë mendim në mënyrë të vazhdueshme për projekt-udhëzimin e përbashkët nr. 463, datë  “</w:t>
      </w:r>
      <w:r>
        <w:rPr>
          <w:rFonts w:ascii="Times New Roman" w:hAnsi="Times New Roman"/>
          <w:color w:val="000000" w:themeColor="text1"/>
          <w:sz w:val="24"/>
          <w:szCs w:val="24"/>
        </w:rPr>
        <w:t>P</w:t>
      </w:r>
      <w:r w:rsidRPr="008B61C5">
        <w:rPr>
          <w:rFonts w:ascii="Times New Roman" w:hAnsi="Times New Roman"/>
          <w:color w:val="000000" w:themeColor="text1"/>
          <w:sz w:val="24"/>
          <w:szCs w:val="24"/>
        </w:rPr>
        <w:t>ër përcaktimin  e institucioneve dhe organeve që marrin të dhëna personale nga shërbimi i gjendjes civile, si dhe mënyrën, llojin dhe sasinë e informacionit që duhet t ë marrin”, i ndryshuar.</w:t>
      </w:r>
    </w:p>
    <w:p w:rsidR="008A3C94" w:rsidRPr="008A5670" w:rsidRDefault="008A3C94" w:rsidP="008A3C94">
      <w:pPr>
        <w:jc w:val="both"/>
        <w:rPr>
          <w:color w:val="000000" w:themeColor="text1"/>
        </w:rPr>
      </w:pPr>
      <w:r w:rsidRPr="008A5670">
        <w:rPr>
          <w:b/>
          <w:i/>
        </w:rPr>
        <w:t xml:space="preserve">Dhënie mendimi/opinione ligjore </w:t>
      </w:r>
    </w:p>
    <w:p w:rsidR="008A3C94" w:rsidRPr="008A3C94" w:rsidRDefault="008A3C94" w:rsidP="008A3C94">
      <w:pPr>
        <w:jc w:val="both"/>
        <w:rPr>
          <w:color w:val="000000" w:themeColor="text1"/>
        </w:rPr>
      </w:pPr>
      <w:r w:rsidRPr="003F231D">
        <w:t xml:space="preserve">Gjatë kësaj periudhe është dhënë mendim ligjor mbi  </w:t>
      </w:r>
      <w:r w:rsidRPr="003F231D">
        <w:rPr>
          <w:b/>
        </w:rPr>
        <w:t xml:space="preserve">8 </w:t>
      </w:r>
      <w:r w:rsidRPr="003F231D">
        <w:t xml:space="preserve">projekt/ligje dërguar nga Ministria e </w:t>
      </w:r>
      <w:r w:rsidRPr="003F231D">
        <w:rPr>
          <w:color w:val="212121"/>
        </w:rPr>
        <w:t xml:space="preserve">Drejtësisë dhe </w:t>
      </w:r>
      <w:r w:rsidRPr="003F231D">
        <w:t xml:space="preserve">Ministria e Financave dhe </w:t>
      </w:r>
      <w:r w:rsidRPr="003F231D">
        <w:rPr>
          <w:color w:val="212121"/>
        </w:rPr>
        <w:t xml:space="preserve">për  </w:t>
      </w:r>
      <w:r w:rsidRPr="003F231D">
        <w:rPr>
          <w:b/>
          <w:color w:val="212121"/>
        </w:rPr>
        <w:t>4</w:t>
      </w:r>
      <w:r w:rsidRPr="003F231D">
        <w:rPr>
          <w:color w:val="212121"/>
        </w:rPr>
        <w:t xml:space="preserve"> projekt vendime dërguar nga Ministria e Brendshme</w:t>
      </w:r>
      <w:r w:rsidRPr="003F231D">
        <w:t xml:space="preserve">. Janë dhënë </w:t>
      </w:r>
      <w:r w:rsidRPr="003F231D">
        <w:rPr>
          <w:b/>
        </w:rPr>
        <w:t>2</w:t>
      </w:r>
      <w:r w:rsidRPr="003F231D">
        <w:t xml:space="preserve"> opinione ligjore paraqitur nga Kuvendi dhe një organizatë e shoqërisë civile, </w:t>
      </w:r>
      <w:r w:rsidRPr="003F231D">
        <w:rPr>
          <w:b/>
        </w:rPr>
        <w:t xml:space="preserve">30 </w:t>
      </w:r>
      <w:r w:rsidRPr="003F231D">
        <w:t xml:space="preserve">opinione ligjore të paraqitura nga kontrollues publik e privat, si dhe është dhënë mendim lidhur me “Disa ndryshime dhe shtesa në Kodin Penal të Republikës së Shqipërisë”. </w:t>
      </w:r>
    </w:p>
    <w:p w:rsidR="008A3C94" w:rsidRDefault="008A3C94" w:rsidP="008A3C94">
      <w:pPr>
        <w:tabs>
          <w:tab w:val="left" w:pos="142"/>
        </w:tabs>
        <w:rPr>
          <w:b/>
          <w:i/>
        </w:rPr>
      </w:pPr>
    </w:p>
    <w:p w:rsidR="008A3C94" w:rsidRPr="006F140D" w:rsidRDefault="008A3C94" w:rsidP="008A3C94">
      <w:pPr>
        <w:tabs>
          <w:tab w:val="left" w:pos="142"/>
        </w:tabs>
        <w:rPr>
          <w:b/>
          <w:i/>
        </w:rPr>
      </w:pPr>
      <w:r w:rsidRPr="006F140D">
        <w:rPr>
          <w:b/>
          <w:i/>
        </w:rPr>
        <w:t>Raportime</w:t>
      </w:r>
    </w:p>
    <w:p w:rsidR="008A3C94" w:rsidRPr="006F140D" w:rsidRDefault="008A3C94" w:rsidP="008A3C94">
      <w:pPr>
        <w:tabs>
          <w:tab w:val="left" w:pos="142"/>
        </w:tabs>
        <w:spacing w:before="240" w:line="252" w:lineRule="auto"/>
        <w:jc w:val="both"/>
      </w:pPr>
      <w:r w:rsidRPr="00C44799">
        <w:t xml:space="preserve">Është plotësuar </w:t>
      </w:r>
      <w:r>
        <w:t xml:space="preserve">pyetësor </w:t>
      </w:r>
      <w:r w:rsidRPr="006F140D">
        <w:t>“</w:t>
      </w:r>
      <w:r w:rsidRPr="006F140D">
        <w:rPr>
          <w:i/>
        </w:rPr>
        <w:t>Mbi masat legjislative dhe masat e tjera që zbatojnë dispozitat e Konventës së Këshillit të Evropës për qasjen në dokumentet zyrtare (Cets nr. 205) – Konventa Tromsø</w:t>
      </w:r>
      <w:r w:rsidRPr="006F140D">
        <w:t xml:space="preserve">” dërguar nga Ministria e Punëve të Jashtme. </w:t>
      </w:r>
    </w:p>
    <w:p w:rsidR="008A3C94" w:rsidRPr="006F140D" w:rsidRDefault="008A3C94" w:rsidP="008A3C94">
      <w:pPr>
        <w:spacing w:line="300" w:lineRule="exact"/>
        <w:jc w:val="both"/>
        <w:rPr>
          <w:color w:val="000000"/>
        </w:rPr>
      </w:pPr>
    </w:p>
    <w:p w:rsidR="008A3C94" w:rsidRPr="006F140D" w:rsidRDefault="008A3C94" w:rsidP="008A3C94">
      <w:pPr>
        <w:spacing w:line="300" w:lineRule="exact"/>
        <w:jc w:val="both"/>
      </w:pPr>
      <w:r w:rsidRPr="006F140D">
        <w:rPr>
          <w:color w:val="000000"/>
        </w:rPr>
        <w:t>Është</w:t>
      </w:r>
      <w:r w:rsidRPr="006F140D">
        <w:t xml:space="preserve"> raportuar në kuadër të Planit Kombëtar për Integrim Evropian (PKIE) 2023- 2025 dhe matricës përkatëse, dërguar nga Ministria e Drejtësisë. </w:t>
      </w:r>
    </w:p>
    <w:p w:rsidR="008A3C94" w:rsidRPr="006F140D" w:rsidRDefault="008A3C94" w:rsidP="008A3C94">
      <w:pPr>
        <w:tabs>
          <w:tab w:val="left" w:pos="142"/>
        </w:tabs>
        <w:spacing w:line="252" w:lineRule="auto"/>
        <w:jc w:val="both"/>
      </w:pPr>
    </w:p>
    <w:p w:rsidR="008A3C94" w:rsidRPr="006F140D" w:rsidRDefault="008A3C94" w:rsidP="008A3C94">
      <w:pPr>
        <w:tabs>
          <w:tab w:val="left" w:pos="142"/>
        </w:tabs>
        <w:spacing w:line="252" w:lineRule="auto"/>
        <w:jc w:val="both"/>
      </w:pPr>
      <w:r w:rsidRPr="006F140D">
        <w:rPr>
          <w:color w:val="000000"/>
        </w:rPr>
        <w:t xml:space="preserve">Është marrë pjesë në takimet e punë </w:t>
      </w:r>
      <w:r w:rsidRPr="006F140D">
        <w:t>në 4 Grupe Ndërinstitucionale të Punës për Integrimin Evropian (GNPIE)</w:t>
      </w:r>
      <w:r w:rsidRPr="006F140D">
        <w:rPr>
          <w:color w:val="000000"/>
        </w:rPr>
        <w:t xml:space="preserve"> në kuadër të </w:t>
      </w:r>
      <w:r w:rsidRPr="006F140D">
        <w:t>hartimit të Udhërrëfyesit për shtetin e të drejtës si</w:t>
      </w:r>
      <w:r w:rsidRPr="006F140D">
        <w:rPr>
          <w:i/>
        </w:rPr>
        <w:t xml:space="preserve"> </w:t>
      </w:r>
      <w:r w:rsidRPr="006F140D">
        <w:t>dhe udhërrëfyesit</w:t>
      </w:r>
      <w:r w:rsidRPr="006F140D">
        <w:rPr>
          <w:i/>
        </w:rPr>
        <w:t xml:space="preserve"> </w:t>
      </w:r>
      <w:r w:rsidRPr="006F140D">
        <w:t xml:space="preserve">për funksionimin e institucioneve demokratike. </w:t>
      </w:r>
    </w:p>
    <w:p w:rsidR="008A3C94" w:rsidRPr="006F140D" w:rsidRDefault="008A3C94" w:rsidP="008A3C94">
      <w:pPr>
        <w:tabs>
          <w:tab w:val="left" w:pos="142"/>
        </w:tabs>
        <w:spacing w:line="252" w:lineRule="auto"/>
        <w:jc w:val="both"/>
        <w:rPr>
          <w:color w:val="0D0D0D"/>
        </w:rPr>
      </w:pPr>
    </w:p>
    <w:p w:rsidR="008A3C94" w:rsidRPr="006F140D" w:rsidRDefault="008A3C94" w:rsidP="008A3C94">
      <w:pPr>
        <w:tabs>
          <w:tab w:val="left" w:pos="142"/>
        </w:tabs>
        <w:spacing w:line="252" w:lineRule="auto"/>
        <w:jc w:val="both"/>
        <w:rPr>
          <w:color w:val="0D0D0D"/>
        </w:rPr>
      </w:pPr>
      <w:r w:rsidRPr="006F140D">
        <w:rPr>
          <w:color w:val="0D0D0D"/>
        </w:rPr>
        <w:t>Është dhënë informacion mbi përditësimin e Raportit të vlerësimit të Shqipërisë për ciklin e dytë të rishikimit të UNCAC (</w:t>
      </w:r>
      <w:r w:rsidRPr="006F140D">
        <w:rPr>
          <w:i/>
          <w:iCs/>
          <w:color w:val="0D0D0D"/>
        </w:rPr>
        <w:t>United Nations Convention against Corruption</w:t>
      </w:r>
      <w:r w:rsidRPr="006F140D">
        <w:rPr>
          <w:color w:val="0D0D0D"/>
        </w:rPr>
        <w:t xml:space="preserve">), </w:t>
      </w:r>
      <w:r w:rsidRPr="006F140D">
        <w:t>dërguar nga Ministria e Drejtësisë.</w:t>
      </w:r>
    </w:p>
    <w:p w:rsidR="008A3C94" w:rsidRPr="00C44799" w:rsidRDefault="008A3C94" w:rsidP="008A3C94">
      <w:pPr>
        <w:jc w:val="both"/>
        <w:rPr>
          <w:rFonts w:eastAsia="Calibri"/>
          <w:color w:val="0D0D0D"/>
        </w:rPr>
      </w:pPr>
    </w:p>
    <w:p w:rsidR="008A3C94" w:rsidRPr="00C44799" w:rsidRDefault="008A3C94" w:rsidP="008A3C94">
      <w:pPr>
        <w:jc w:val="both"/>
        <w:rPr>
          <w:rFonts w:eastAsia="Calibri"/>
          <w:color w:val="0D0D0D"/>
        </w:rPr>
      </w:pPr>
      <w:r w:rsidRPr="00C44799">
        <w:rPr>
          <w:rFonts w:eastAsia="Calibri"/>
          <w:color w:val="0D0D0D"/>
        </w:rPr>
        <w:lastRenderedPageBreak/>
        <w:t>Është plotësuar “Pyetësori i rregullimit të të dhënave të dhënat globale të Bankës Botërore”.</w:t>
      </w:r>
    </w:p>
    <w:p w:rsidR="008A3C94" w:rsidRPr="00C44799" w:rsidRDefault="008A3C94" w:rsidP="008A3C94">
      <w:pPr>
        <w:spacing w:line="252" w:lineRule="auto"/>
        <w:jc w:val="both"/>
        <w:rPr>
          <w:rFonts w:eastAsia="Calibri"/>
          <w:color w:val="0D0D0D"/>
        </w:rPr>
      </w:pPr>
    </w:p>
    <w:p w:rsidR="008A3C94" w:rsidRPr="00C44799" w:rsidRDefault="008A3C94" w:rsidP="008A3C94">
      <w:pPr>
        <w:shd w:val="clear" w:color="auto" w:fill="FFFFFF"/>
        <w:jc w:val="both"/>
        <w:rPr>
          <w:rFonts w:eastAsia="Calibri"/>
          <w:color w:val="000000"/>
        </w:rPr>
      </w:pPr>
      <w:r w:rsidRPr="00C44799">
        <w:rPr>
          <w:rFonts w:eastAsia="Calibri"/>
          <w:color w:val="000000"/>
          <w:bdr w:val="none" w:sz="0" w:space="0" w:color="auto" w:frame="1"/>
        </w:rPr>
        <w:t xml:space="preserve">Është raportuar pranë Ministrisë së Drejtësisë, në kuadër të publikimit të Raportit Screening, të Komisionit Evropian, për Grupimin e Parë “Themeloret” për nënkapitullin e të drejtave themelore, duke dërguar masat kontrete të propozuar nga Zyra e Komisionerit. </w:t>
      </w:r>
    </w:p>
    <w:p w:rsidR="008A3C94" w:rsidRPr="00C44799" w:rsidRDefault="008A3C94" w:rsidP="008A3C94">
      <w:pPr>
        <w:ind w:left="720"/>
        <w:rPr>
          <w:rFonts w:ascii="Calibri" w:eastAsia="Calibri" w:hAnsi="Calibri" w:cs="Calibri"/>
          <w:color w:val="000000"/>
        </w:rPr>
      </w:pPr>
    </w:p>
    <w:p w:rsidR="008A3C94" w:rsidRPr="00C44799" w:rsidRDefault="008A3C94" w:rsidP="008A3C94">
      <w:pPr>
        <w:shd w:val="clear" w:color="auto" w:fill="FFFFFF"/>
        <w:jc w:val="both"/>
        <w:rPr>
          <w:rFonts w:eastAsia="Calibri"/>
          <w:color w:val="000000"/>
        </w:rPr>
      </w:pPr>
      <w:r w:rsidRPr="00C44799">
        <w:rPr>
          <w:rFonts w:eastAsia="Calibri"/>
          <w:color w:val="000000"/>
        </w:rPr>
        <w:t xml:space="preserve">Është raportuar në kuadër të kontributit </w:t>
      </w:r>
      <w:r>
        <w:rPr>
          <w:rFonts w:eastAsia="Calibri"/>
          <w:color w:val="000000"/>
        </w:rPr>
        <w:t>S</w:t>
      </w:r>
      <w:r w:rsidRPr="00C44799">
        <w:rPr>
          <w:rFonts w:eastAsia="Calibri"/>
          <w:color w:val="000000"/>
        </w:rPr>
        <w:t xml:space="preserve">imestrit II dhe II për Progres Raportit dhe integrimit evropian si dhe raportime periodike për Road Map-in e hartuar nga Ministria e Drejtësisë. </w:t>
      </w:r>
    </w:p>
    <w:p w:rsidR="008A3C94" w:rsidRPr="00C44799" w:rsidRDefault="008A3C94" w:rsidP="008A3C94">
      <w:pPr>
        <w:ind w:left="720"/>
        <w:rPr>
          <w:rFonts w:ascii="Calibri" w:eastAsia="Calibri" w:hAnsi="Calibri" w:cs="Calibri"/>
        </w:rPr>
      </w:pPr>
    </w:p>
    <w:p w:rsidR="008A3C94" w:rsidRPr="006F140D" w:rsidRDefault="008A3C94" w:rsidP="008A3C94">
      <w:pPr>
        <w:tabs>
          <w:tab w:val="left" w:pos="142"/>
        </w:tabs>
        <w:spacing w:line="252" w:lineRule="auto"/>
        <w:jc w:val="both"/>
        <w:rPr>
          <w:color w:val="0D0D0D"/>
        </w:rPr>
      </w:pPr>
      <w:r w:rsidRPr="006F140D">
        <w:rPr>
          <w:color w:val="0D0D0D"/>
        </w:rPr>
        <w:t xml:space="preserve">Është përgatitur Prezantimin PPT </w:t>
      </w:r>
      <w:r>
        <w:rPr>
          <w:color w:val="0D0D0D"/>
        </w:rPr>
        <w:t xml:space="preserve"> </w:t>
      </w:r>
      <w:r w:rsidRPr="006F140D">
        <w:rPr>
          <w:color w:val="0D0D0D"/>
        </w:rPr>
        <w:t xml:space="preserve">“Mbi të dhënat e hapura dhe informacionin e sektorit publik”  pjesë e Kapitullit 10 “Shoqëria e Informacionit dhe media” mbajtur në kuadër të takimit bilateral në mars 2023 në Bruksel. </w:t>
      </w:r>
    </w:p>
    <w:p w:rsidR="008A3C94" w:rsidRPr="006F140D" w:rsidRDefault="008A3C94" w:rsidP="008A3C94">
      <w:pPr>
        <w:tabs>
          <w:tab w:val="left" w:pos="142"/>
        </w:tabs>
        <w:spacing w:line="252" w:lineRule="auto"/>
        <w:jc w:val="both"/>
        <w:rPr>
          <w:color w:val="000000"/>
        </w:rPr>
      </w:pPr>
    </w:p>
    <w:p w:rsidR="008A3C94" w:rsidRDefault="008A3C94" w:rsidP="008A3C94">
      <w:pPr>
        <w:tabs>
          <w:tab w:val="left" w:pos="142"/>
        </w:tabs>
        <w:spacing w:line="252" w:lineRule="auto"/>
        <w:jc w:val="both"/>
      </w:pPr>
      <w:r w:rsidRPr="006F140D">
        <w:rPr>
          <w:color w:val="000000"/>
        </w:rPr>
        <w:t xml:space="preserve">Është raportuar në kuadër të Platformës Ndërinstitucionale Online të Kuvendit të Republikës së Shqipërisë, në zbatim të Vendimit nr.134/2018 </w:t>
      </w:r>
      <w:r w:rsidRPr="006F140D">
        <w:rPr>
          <w:i/>
          <w:color w:val="000000"/>
        </w:rPr>
        <w:t>“Për miratimin e Manualit të Monitorimit Vjetor dhe Periodik”</w:t>
      </w:r>
      <w:r w:rsidRPr="006F140D">
        <w:rPr>
          <w:color w:val="000000"/>
        </w:rPr>
        <w:t xml:space="preserve"> mbi nivelin</w:t>
      </w:r>
      <w:r w:rsidRPr="006F140D">
        <w:t xml:space="preserve"> e zbatimit të rekomandimeve të lëna nga Zyra e Komisionerit, për autoritet publike si dhe statusin e zbat</w:t>
      </w:r>
      <w:r>
        <w:t>ueshmërisë së tyre për periudhat janar – prill dhe maj - gusht</w:t>
      </w:r>
      <w:r w:rsidRPr="006F140D">
        <w:t xml:space="preserve"> 2023. </w:t>
      </w:r>
    </w:p>
    <w:p w:rsidR="008A3C94" w:rsidRPr="006F140D" w:rsidRDefault="008A3C94" w:rsidP="008A3C94">
      <w:pPr>
        <w:spacing w:before="240"/>
        <w:jc w:val="both"/>
      </w:pPr>
      <w:r w:rsidRPr="006F140D">
        <w:t>Është raportuar mbi hartimin dhe objektivat për t’u parashikuar në Strategjinë Ndërsektoriale kundër Korrupsionit dh</w:t>
      </w:r>
      <w:r>
        <w:t>e Planit të Veprimit 2023-2030.</w:t>
      </w:r>
      <w:r w:rsidRPr="006F140D">
        <w:t xml:space="preserve"> </w:t>
      </w:r>
    </w:p>
    <w:p w:rsidR="008A3C94" w:rsidRPr="00D779A2" w:rsidRDefault="008A3C94" w:rsidP="008A3C94">
      <w:pPr>
        <w:jc w:val="both"/>
        <w:rPr>
          <w:color w:val="000000"/>
        </w:rPr>
      </w:pPr>
      <w:r w:rsidRPr="00D779A2">
        <w:rPr>
          <w:color w:val="000000"/>
        </w:rPr>
        <w:t xml:space="preserve">Është dhënë mendim për Strategjia Ndërsektoriale për Mbrojtjen e Viktimave të Krimit 2024-2030. </w:t>
      </w:r>
    </w:p>
    <w:p w:rsidR="008A3C94" w:rsidRPr="0001295C" w:rsidRDefault="008A3C94" w:rsidP="008A3C94">
      <w:pPr>
        <w:jc w:val="both"/>
      </w:pPr>
      <w:r w:rsidRPr="006F140D">
        <w:rPr>
          <w:color w:val="000000"/>
        </w:rPr>
        <w:t xml:space="preserve">Është raportuar në kuadër të </w:t>
      </w:r>
      <w:r w:rsidRPr="006F140D">
        <w:t>zbatimit të</w:t>
      </w:r>
      <w:r w:rsidRPr="006F140D">
        <w:rPr>
          <w:i/>
        </w:rPr>
        <w:t xml:space="preserve"> </w:t>
      </w:r>
      <w:r w:rsidRPr="0001295C">
        <w:t xml:space="preserve">“Agjendës Kombëtare për të Drejtat e Fëmijëve 2021-2026”. </w:t>
      </w:r>
    </w:p>
    <w:p w:rsidR="00C853EB" w:rsidRPr="00000F0F" w:rsidRDefault="00C853EB" w:rsidP="00000F0F">
      <w:pPr>
        <w:spacing w:line="276" w:lineRule="auto"/>
        <w:jc w:val="both"/>
        <w:rPr>
          <w:iCs/>
        </w:rPr>
      </w:pPr>
    </w:p>
    <w:p w:rsidR="003F0960" w:rsidRPr="004B3AC9" w:rsidRDefault="003A2761" w:rsidP="00000F0F">
      <w:pPr>
        <w:spacing w:line="276" w:lineRule="auto"/>
        <w:jc w:val="both"/>
      </w:pPr>
      <w:r w:rsidRPr="004B3AC9">
        <w:rPr>
          <w:iCs/>
        </w:rPr>
        <w:t>Sa i p</w:t>
      </w:r>
      <w:r w:rsidR="00C853EB" w:rsidRPr="004B3AC9">
        <w:rPr>
          <w:iCs/>
        </w:rPr>
        <w:t>ë</w:t>
      </w:r>
      <w:r w:rsidRPr="004B3AC9">
        <w:rPr>
          <w:iCs/>
        </w:rPr>
        <w:t>rket marrëdhënieve ndërkombëtare për periudh</w:t>
      </w:r>
      <w:r w:rsidR="004B3AC9" w:rsidRPr="004B3AC9">
        <w:rPr>
          <w:iCs/>
        </w:rPr>
        <w:t>ë</w:t>
      </w:r>
      <w:r w:rsidRPr="004B3AC9">
        <w:rPr>
          <w:iCs/>
        </w:rPr>
        <w:t xml:space="preserve">n e raportuar Zyra e Komisionerit </w:t>
      </w:r>
      <w:r w:rsidR="008B69C4" w:rsidRPr="004B3AC9">
        <w:rPr>
          <w:color w:val="000000"/>
        </w:rPr>
        <w:t xml:space="preserve"> </w:t>
      </w:r>
      <w:r w:rsidR="004B3AC9" w:rsidRPr="004B3AC9">
        <w:rPr>
          <w:color w:val="000000"/>
        </w:rPr>
        <w:t>ë</w:t>
      </w:r>
      <w:r w:rsidR="008B69C4" w:rsidRPr="004B3AC9">
        <w:rPr>
          <w:color w:val="000000"/>
        </w:rPr>
        <w:t>sht</w:t>
      </w:r>
      <w:r w:rsidR="004B3AC9" w:rsidRPr="004B3AC9">
        <w:rPr>
          <w:color w:val="000000"/>
        </w:rPr>
        <w:t>ë</w:t>
      </w:r>
      <w:r w:rsidR="008B69C4" w:rsidRPr="004B3AC9">
        <w:rPr>
          <w:color w:val="000000"/>
        </w:rPr>
        <w:t xml:space="preserve"> an</w:t>
      </w:r>
      <w:r w:rsidR="004B3AC9" w:rsidRPr="004B3AC9">
        <w:rPr>
          <w:color w:val="000000"/>
        </w:rPr>
        <w:t>ë</w:t>
      </w:r>
      <w:r w:rsidR="008B69C4" w:rsidRPr="004B3AC9">
        <w:rPr>
          <w:color w:val="000000"/>
        </w:rPr>
        <w:t>tar</w:t>
      </w:r>
      <w:r w:rsidR="004B3AC9" w:rsidRPr="004B3AC9">
        <w:rPr>
          <w:color w:val="000000"/>
        </w:rPr>
        <w:t>ë</w:t>
      </w:r>
      <w:r w:rsidR="008B69C4" w:rsidRPr="004B3AC9">
        <w:rPr>
          <w:color w:val="000000"/>
        </w:rPr>
        <w:t>suar në disa grupe pune</w:t>
      </w:r>
      <w:r w:rsidR="008663E7">
        <w:rPr>
          <w:color w:val="000000"/>
        </w:rPr>
        <w:t xml:space="preserve">. </w:t>
      </w:r>
      <w:r w:rsidR="00C853EB" w:rsidRPr="004B3AC9">
        <w:t>Paralelisht, është bashkëpunuar me institucione/organizma vendore dhe për krijimin e një mjedisi për njohjen dhe ushtirmin e të drejtave të qytetarëve.</w:t>
      </w:r>
    </w:p>
    <w:p w:rsidR="00C853EB" w:rsidRPr="00000F0F" w:rsidRDefault="00C853EB" w:rsidP="00000F0F">
      <w:pPr>
        <w:tabs>
          <w:tab w:val="left" w:pos="1878"/>
        </w:tabs>
        <w:spacing w:line="276" w:lineRule="auto"/>
        <w:jc w:val="both"/>
        <w:rPr>
          <w:color w:val="000000"/>
        </w:rPr>
      </w:pPr>
      <w:r w:rsidRPr="00000F0F">
        <w:rPr>
          <w:color w:val="000000"/>
        </w:rPr>
        <w:t xml:space="preserve">Më gjerësisht  në faqen zyrtare </w:t>
      </w:r>
      <w:hyperlink r:id="rId10" w:history="1">
        <w:r w:rsidRPr="00000F0F">
          <w:rPr>
            <w:rStyle w:val="Hyperlink"/>
          </w:rPr>
          <w:t>www.idp.al</w:t>
        </w:r>
      </w:hyperlink>
      <w:r w:rsidRPr="00000F0F">
        <w:rPr>
          <w:color w:val="000000"/>
        </w:rPr>
        <w:t xml:space="preserve">, keni të publikuar të gjithë aktivitetin/etet e Zyrës së Komisionerit </w:t>
      </w:r>
    </w:p>
    <w:p w:rsidR="003F0960" w:rsidRPr="00B766F8" w:rsidRDefault="00B766F8" w:rsidP="00B766F8">
      <w:pPr>
        <w:spacing w:line="276" w:lineRule="auto"/>
        <w:jc w:val="both"/>
        <w:rPr>
          <w:rFonts w:eastAsia="Batang"/>
          <w:lang w:eastAsia="ko-KR"/>
        </w:rPr>
      </w:pPr>
      <w:r>
        <w:rPr>
          <w:rFonts w:eastAsia="Batang"/>
          <w:lang w:eastAsia="ko-KR"/>
        </w:rPr>
        <w:t xml:space="preserve"> </w:t>
      </w:r>
    </w:p>
    <w:p w:rsidR="003F0960" w:rsidRPr="00000F0F" w:rsidRDefault="003F0960" w:rsidP="00000F0F">
      <w:pPr>
        <w:spacing w:after="120" w:line="276" w:lineRule="auto"/>
        <w:jc w:val="both"/>
        <w:rPr>
          <w:b/>
          <w:color w:val="000000" w:themeColor="text1"/>
        </w:rPr>
      </w:pPr>
      <w:r w:rsidRPr="00000F0F">
        <w:rPr>
          <w:b/>
          <w:color w:val="000000" w:themeColor="text1"/>
        </w:rPr>
        <w:t>-Të ardhurat nga sanksionet/gjoba</w:t>
      </w:r>
    </w:p>
    <w:p w:rsidR="00000F0F" w:rsidRPr="008A3C94" w:rsidRDefault="008A3C94" w:rsidP="008A3C94">
      <w:pPr>
        <w:tabs>
          <w:tab w:val="left" w:pos="142"/>
        </w:tabs>
        <w:spacing w:before="240" w:line="276" w:lineRule="auto"/>
        <w:jc w:val="both"/>
      </w:pPr>
      <w:r w:rsidRPr="006F140D">
        <w:t>Për periudhën raportuese, për Zyrën e Komisionerit, janë ekzekutuar</w:t>
      </w:r>
      <w:r>
        <w:t xml:space="preserve"> në mënyrë vullnetare </w:t>
      </w:r>
      <w:r w:rsidRPr="00F25C78">
        <w:rPr>
          <w:b/>
        </w:rPr>
        <w:t>5</w:t>
      </w:r>
      <w:r>
        <w:t xml:space="preserve"> vendime gjobe</w:t>
      </w:r>
      <w:r w:rsidRPr="006F140D">
        <w:t xml:space="preserve"> në zbatim të ligjit nr.9887/2008 “Për mbrojtjen e të dhënave personale”</w:t>
      </w:r>
      <w:r>
        <w:t xml:space="preserve">, i ndryshuar, </w:t>
      </w:r>
      <w:r w:rsidRPr="00F25C78">
        <w:rPr>
          <w:b/>
        </w:rPr>
        <w:t>2</w:t>
      </w:r>
      <w:r>
        <w:rPr>
          <w:b/>
        </w:rPr>
        <w:t xml:space="preserve"> </w:t>
      </w:r>
      <w:r w:rsidRPr="00F25C78">
        <w:t>prej këtyre</w:t>
      </w:r>
      <w:r>
        <w:rPr>
          <w:b/>
        </w:rPr>
        <w:t xml:space="preserve"> </w:t>
      </w:r>
      <w:r w:rsidRPr="006F140D">
        <w:t xml:space="preserve">vendime </w:t>
      </w:r>
      <w:r>
        <w:t>janë dhënë</w:t>
      </w:r>
      <w:r w:rsidRPr="006F140D">
        <w:t xml:space="preserve"> në vitin 2022,</w:t>
      </w:r>
      <w:r>
        <w:t xml:space="preserve"> dhe </w:t>
      </w:r>
      <w:r w:rsidRPr="00F25C78">
        <w:rPr>
          <w:b/>
        </w:rPr>
        <w:t>3</w:t>
      </w:r>
      <w:r>
        <w:t xml:space="preserve"> vendime për vitin 2023. </w:t>
      </w:r>
      <w:r>
        <w:rPr>
          <w:color w:val="0D0D0D" w:themeColor="text1" w:themeTint="F2"/>
        </w:rPr>
        <w:t xml:space="preserve">Arkëtimet janë në vlerën </w:t>
      </w:r>
      <w:r w:rsidR="00B766F8" w:rsidRPr="00B766F8">
        <w:rPr>
          <w:color w:val="0D0D0D" w:themeColor="text1" w:themeTint="F2"/>
        </w:rPr>
        <w:t xml:space="preserve"> </w:t>
      </w:r>
      <w:r w:rsidR="00F85B7C">
        <w:rPr>
          <w:color w:val="0D0D0D" w:themeColor="text1" w:themeTint="F2"/>
        </w:rPr>
        <w:t>630.000</w:t>
      </w:r>
      <w:r w:rsidR="00F474EB" w:rsidRPr="00B766F8">
        <w:rPr>
          <w:color w:val="0D0D0D" w:themeColor="text1" w:themeTint="F2"/>
        </w:rPr>
        <w:t xml:space="preserve"> lek</w:t>
      </w:r>
      <w:r w:rsidR="00F85B7C">
        <w:rPr>
          <w:color w:val="0D0D0D" w:themeColor="text1" w:themeTint="F2"/>
        </w:rPr>
        <w:t>ë</w:t>
      </w:r>
      <w:r>
        <w:rPr>
          <w:color w:val="0D0D0D" w:themeColor="text1" w:themeTint="F2"/>
        </w:rPr>
        <w:t xml:space="preserve"> </w:t>
      </w:r>
    </w:p>
    <w:p w:rsidR="008D09E8" w:rsidRPr="008A3C94" w:rsidRDefault="003F0960" w:rsidP="008A3C94">
      <w:pPr>
        <w:tabs>
          <w:tab w:val="left" w:pos="6765"/>
        </w:tabs>
        <w:spacing w:line="276" w:lineRule="auto"/>
        <w:jc w:val="center"/>
        <w:rPr>
          <w:rFonts w:eastAsia="Batang"/>
          <w:b/>
          <w:color w:val="FF0000"/>
        </w:rPr>
      </w:pPr>
      <w:r w:rsidRPr="004B3AC9">
        <w:rPr>
          <w:rFonts w:eastAsia="Batang"/>
          <w:b/>
          <w:color w:val="FF0000"/>
        </w:rPr>
        <w:t xml:space="preserve">                                   </w:t>
      </w:r>
    </w:p>
    <w:p w:rsidR="008D09E8" w:rsidRPr="00B151C3" w:rsidRDefault="008D09E8" w:rsidP="008D09E8">
      <w:pPr>
        <w:tabs>
          <w:tab w:val="left" w:pos="6765"/>
        </w:tabs>
        <w:spacing w:line="276" w:lineRule="auto"/>
        <w:jc w:val="center"/>
        <w:rPr>
          <w:rFonts w:eastAsia="Batang"/>
          <w:b/>
        </w:rPr>
      </w:pPr>
      <w:r w:rsidRPr="00B151C3">
        <w:rPr>
          <w:rFonts w:eastAsia="Batang"/>
          <w:b/>
        </w:rPr>
        <w:t xml:space="preserve">                                                                                                        KOMISIONERI </w:t>
      </w:r>
    </w:p>
    <w:p w:rsidR="008D09E8" w:rsidRPr="00B151C3" w:rsidRDefault="008D09E8" w:rsidP="008D09E8">
      <w:pPr>
        <w:tabs>
          <w:tab w:val="left" w:pos="6765"/>
        </w:tabs>
        <w:spacing w:line="276" w:lineRule="auto"/>
        <w:jc w:val="right"/>
      </w:pPr>
    </w:p>
    <w:p w:rsidR="008D09E8" w:rsidRDefault="008D09E8" w:rsidP="008D09E8">
      <w:pPr>
        <w:tabs>
          <w:tab w:val="left" w:pos="6765"/>
        </w:tabs>
        <w:spacing w:line="276" w:lineRule="auto"/>
        <w:jc w:val="center"/>
        <w:rPr>
          <w:rFonts w:eastAsia="Batang"/>
          <w:b/>
        </w:rPr>
      </w:pPr>
      <w:r w:rsidRPr="00B151C3">
        <w:rPr>
          <w:rFonts w:eastAsia="Batang"/>
        </w:rPr>
        <w:t xml:space="preserve">                                                                                                       </w:t>
      </w:r>
      <w:r>
        <w:rPr>
          <w:rFonts w:eastAsia="Batang"/>
          <w:b/>
        </w:rPr>
        <w:t>Besnik Dervishi</w:t>
      </w:r>
    </w:p>
    <w:p w:rsidR="008A3C94" w:rsidRDefault="008A3C94" w:rsidP="008A3C94">
      <w:pPr>
        <w:tabs>
          <w:tab w:val="left" w:pos="6765"/>
        </w:tabs>
        <w:spacing w:line="276" w:lineRule="auto"/>
        <w:rPr>
          <w:rFonts w:eastAsia="Batang"/>
          <w:b/>
        </w:rPr>
      </w:pPr>
    </w:p>
    <w:p w:rsidR="008A3C94" w:rsidRPr="008A3C94" w:rsidRDefault="008A3C94" w:rsidP="008A3C94">
      <w:pPr>
        <w:tabs>
          <w:tab w:val="left" w:pos="6765"/>
        </w:tabs>
        <w:spacing w:line="276" w:lineRule="auto"/>
        <w:rPr>
          <w:rFonts w:eastAsia="Batang"/>
        </w:rPr>
      </w:pPr>
      <w:r w:rsidRPr="008A3C94">
        <w:rPr>
          <w:rFonts w:eastAsia="Batang"/>
        </w:rPr>
        <w:t>Konceptoi : D.</w:t>
      </w:r>
      <w:r>
        <w:rPr>
          <w:rFonts w:eastAsia="Batang"/>
        </w:rPr>
        <w:t>H</w:t>
      </w:r>
      <w:bookmarkStart w:id="0" w:name="_GoBack"/>
      <w:bookmarkEnd w:id="0"/>
      <w:r w:rsidRPr="008A3C94">
        <w:rPr>
          <w:rFonts w:eastAsia="Batang"/>
        </w:rPr>
        <w:t>ebibasi, L.Xhakaj</w:t>
      </w:r>
    </w:p>
    <w:p w:rsidR="008A3C94" w:rsidRPr="008A3C94" w:rsidRDefault="008A3C94" w:rsidP="008A3C94">
      <w:pPr>
        <w:tabs>
          <w:tab w:val="left" w:pos="6765"/>
        </w:tabs>
        <w:spacing w:line="276" w:lineRule="auto"/>
        <w:sectPr w:rsidR="008A3C94" w:rsidRPr="008A3C94" w:rsidSect="003F0960">
          <w:footerReference w:type="default" r:id="rId11"/>
          <w:pgSz w:w="11906" w:h="16838" w:code="9"/>
          <w:pgMar w:top="1134" w:right="1701" w:bottom="1134" w:left="1701" w:header="357" w:footer="369" w:gutter="0"/>
          <w:cols w:space="708"/>
          <w:docGrid w:linePitch="360"/>
        </w:sectPr>
      </w:pPr>
      <w:r w:rsidRPr="008A3C94">
        <w:rPr>
          <w:rFonts w:eastAsia="Batang"/>
        </w:rPr>
        <w:t xml:space="preserve">Sigloi: L.Morina </w:t>
      </w:r>
    </w:p>
    <w:p w:rsidR="00CA1C01" w:rsidRPr="003F0960" w:rsidRDefault="003F0960" w:rsidP="00000F0F">
      <w:pPr>
        <w:tabs>
          <w:tab w:val="left" w:pos="6765"/>
        </w:tabs>
        <w:spacing w:line="276" w:lineRule="auto"/>
        <w:jc w:val="center"/>
        <w:sectPr w:rsidR="00CA1C01" w:rsidRPr="003F0960" w:rsidSect="003F0960">
          <w:footerReference w:type="default" r:id="rId12"/>
          <w:pgSz w:w="11906" w:h="16838" w:code="9"/>
          <w:pgMar w:top="1134" w:right="1701" w:bottom="1134" w:left="1701" w:header="357" w:footer="369" w:gutter="0"/>
          <w:cols w:space="708"/>
          <w:docGrid w:linePitch="360"/>
        </w:sectPr>
      </w:pPr>
      <w:r w:rsidRPr="00000F0F">
        <w:rPr>
          <w:rFonts w:eastAsia="Batang"/>
          <w:b/>
        </w:rPr>
        <w:lastRenderedPageBreak/>
        <w:t xml:space="preserve">                                                                     </w:t>
      </w:r>
    </w:p>
    <w:p w:rsidR="00A172A0" w:rsidRPr="008C1D0F" w:rsidRDefault="00A172A0" w:rsidP="003F0960">
      <w:pPr>
        <w:spacing w:after="240" w:line="276" w:lineRule="auto"/>
        <w:jc w:val="both"/>
      </w:pPr>
    </w:p>
    <w:sectPr w:rsidR="00A172A0" w:rsidRPr="008C1D0F" w:rsidSect="00A453FF">
      <w:footerReference w:type="default" r:id="rId13"/>
      <w:pgSz w:w="11907" w:h="16839" w:code="9"/>
      <w:pgMar w:top="1418" w:right="1701" w:bottom="1134" w:left="1701"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8F4" w:rsidRDefault="00B538F4">
      <w:r>
        <w:separator/>
      </w:r>
    </w:p>
  </w:endnote>
  <w:endnote w:type="continuationSeparator" w:id="0">
    <w:p w:rsidR="00B538F4" w:rsidRDefault="00B5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8F4" w:rsidRDefault="00B538F4" w:rsidP="00320203">
    <w:pPr>
      <w:pStyle w:val="Footer"/>
    </w:pPr>
    <w:r>
      <w:rPr>
        <w:noProof/>
        <w:sz w:val="16"/>
        <w:szCs w:val="16"/>
        <w:lang w:val="en-US" w:eastAsia="en-US"/>
      </w:rPr>
      <mc:AlternateContent>
        <mc:Choice Requires="wps">
          <w:drawing>
            <wp:anchor distT="4294967294" distB="4294967294" distL="114300" distR="114300" simplePos="0" relativeHeight="251665408" behindDoc="0" locked="0" layoutInCell="1" allowOverlap="1" wp14:anchorId="6C00113A" wp14:editId="59A1E0AB">
              <wp:simplePos x="0" y="0"/>
              <wp:positionH relativeFrom="column">
                <wp:posOffset>300990</wp:posOffset>
              </wp:positionH>
              <wp:positionV relativeFrom="paragraph">
                <wp:posOffset>-29845</wp:posOffset>
              </wp:positionV>
              <wp:extent cx="5471795" cy="0"/>
              <wp:effectExtent l="0" t="0" r="336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EA22C3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7pt,-2.35pt" to="454.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" strokecolor="windowText" strokeweight="1.5pt">
              <v:stroke joinstyle="miter"/>
              <o:lock v:ext="edit" shapetype="f"/>
            </v:line>
          </w:pict>
        </mc:Fallback>
      </mc:AlternateContent>
    </w:r>
    <w:r>
      <w:rPr>
        <w:sz w:val="16"/>
        <w:szCs w:val="16"/>
        <w:lang w:val="it-IT"/>
      </w:rPr>
      <w:t xml:space="preserve">           </w: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Tirane”.</w:t>
    </w:r>
    <w:r>
      <w:rPr>
        <w:bCs/>
        <w:sz w:val="16"/>
        <w:szCs w:val="16"/>
      </w:rPr>
      <w:tab/>
      <w:t xml:space="preserve">                                      </w:t>
    </w:r>
    <w:r w:rsidRPr="009D51CA">
      <w:rPr>
        <w:sz w:val="16"/>
        <w:szCs w:val="16"/>
      </w:rPr>
      <w:t>Telefon:00355 42237200</w:t>
    </w:r>
    <w:r>
      <w:rPr>
        <w:sz w:val="16"/>
        <w:szCs w:val="16"/>
      </w:rPr>
      <w:t xml:space="preserve"> </w:t>
    </w:r>
    <w:r w:rsidRPr="009D51CA">
      <w:rPr>
        <w:sz w:val="16"/>
        <w:szCs w:val="16"/>
      </w:rPr>
      <w:t xml:space="preserve"> </w:t>
    </w:r>
    <w:r>
      <w:rPr>
        <w:sz w:val="16"/>
        <w:szCs w:val="16"/>
      </w:rPr>
      <w:t xml:space="preserve">              </w:t>
    </w:r>
    <w:r>
      <w:rPr>
        <w:rStyle w:val="Hyperlink"/>
        <w:rFonts w:eastAsia="MS Mincho"/>
        <w:sz w:val="16"/>
        <w:szCs w:val="16"/>
      </w:rPr>
      <w:t>www</w:t>
    </w:r>
    <w:hyperlink r:id="rId1" w:history="1">
      <w:r w:rsidRPr="005D785D">
        <w:rPr>
          <w:rStyle w:val="Hyperlink"/>
          <w:rFonts w:eastAsia="MS Mincho"/>
          <w:sz w:val="16"/>
          <w:szCs w:val="16"/>
        </w:rPr>
        <w:t>.idp.al</w:t>
      </w:r>
    </w:hyperlink>
    <w:r w:rsidRPr="00A02BAF">
      <w:rPr>
        <w:color w:val="365F91" w:themeColor="accent1" w:themeShade="BF"/>
        <w:sz w:val="16"/>
        <w:szCs w:val="16"/>
        <w:u w:val="single"/>
      </w:rPr>
      <w:t xml:space="preserve"> info@idp.al</w:t>
    </w:r>
    <w:r w:rsidRPr="001B6125">
      <w:rPr>
        <w:color w:val="0070C0"/>
        <w:sz w:val="16"/>
        <w:szCs w:val="16"/>
      </w:rPr>
      <w:tab/>
    </w:r>
  </w:p>
  <w:p w:rsidR="00B538F4" w:rsidRDefault="00B538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8F4" w:rsidRDefault="00B538F4" w:rsidP="00320203">
    <w:pPr>
      <w:pStyle w:val="Footer"/>
    </w:pPr>
    <w:r>
      <w:rPr>
        <w:noProof/>
        <w:sz w:val="16"/>
        <w:szCs w:val="16"/>
        <w:lang w:val="en-US" w:eastAsia="en-US"/>
      </w:rPr>
      <mc:AlternateContent>
        <mc:Choice Requires="wps">
          <w:drawing>
            <wp:anchor distT="4294967294" distB="4294967294" distL="114300" distR="114300" simplePos="0" relativeHeight="251661312" behindDoc="0" locked="0" layoutInCell="1" allowOverlap="1" wp14:anchorId="7E01DD6A" wp14:editId="28981BFA">
              <wp:simplePos x="0" y="0"/>
              <wp:positionH relativeFrom="column">
                <wp:posOffset>300990</wp:posOffset>
              </wp:positionH>
              <wp:positionV relativeFrom="paragraph">
                <wp:posOffset>-29845</wp:posOffset>
              </wp:positionV>
              <wp:extent cx="5471795" cy="0"/>
              <wp:effectExtent l="0" t="0" r="336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9F7952D"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7pt,-2.35pt" to="454.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" strokecolor="windowText" strokeweight="1.5pt">
              <v:stroke joinstyle="miter"/>
              <o:lock v:ext="edit" shapetype="f"/>
            </v:line>
          </w:pict>
        </mc:Fallback>
      </mc:AlternateContent>
    </w:r>
    <w:r>
      <w:rPr>
        <w:sz w:val="16"/>
        <w:szCs w:val="16"/>
        <w:lang w:val="it-IT"/>
      </w:rPr>
      <w:t xml:space="preserve">           </w: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Tirane”.</w:t>
    </w:r>
    <w:r>
      <w:rPr>
        <w:bCs/>
        <w:sz w:val="16"/>
        <w:szCs w:val="16"/>
      </w:rPr>
      <w:tab/>
      <w:t xml:space="preserve">                                      </w:t>
    </w:r>
    <w:r w:rsidRPr="009D51CA">
      <w:rPr>
        <w:sz w:val="16"/>
        <w:szCs w:val="16"/>
      </w:rPr>
      <w:t>Telefon:00355 42237200</w:t>
    </w:r>
    <w:r>
      <w:rPr>
        <w:sz w:val="16"/>
        <w:szCs w:val="16"/>
      </w:rPr>
      <w:t xml:space="preserve"> </w:t>
    </w:r>
    <w:r w:rsidRPr="009D51CA">
      <w:rPr>
        <w:sz w:val="16"/>
        <w:szCs w:val="16"/>
      </w:rPr>
      <w:t xml:space="preserve"> </w:t>
    </w:r>
    <w:r>
      <w:rPr>
        <w:sz w:val="16"/>
        <w:szCs w:val="16"/>
      </w:rPr>
      <w:t xml:space="preserve">              </w:t>
    </w:r>
    <w:r>
      <w:rPr>
        <w:rStyle w:val="Hyperlink"/>
        <w:rFonts w:eastAsia="MS Mincho"/>
        <w:sz w:val="16"/>
        <w:szCs w:val="16"/>
      </w:rPr>
      <w:t>www</w:t>
    </w:r>
    <w:hyperlink r:id="rId1" w:history="1">
      <w:r w:rsidRPr="005D785D">
        <w:rPr>
          <w:rStyle w:val="Hyperlink"/>
          <w:rFonts w:eastAsia="MS Mincho"/>
          <w:sz w:val="16"/>
          <w:szCs w:val="16"/>
        </w:rPr>
        <w:t>.idp.al</w:t>
      </w:r>
    </w:hyperlink>
    <w:r w:rsidRPr="00A02BAF">
      <w:rPr>
        <w:color w:val="365F91" w:themeColor="accent1" w:themeShade="BF"/>
        <w:sz w:val="16"/>
        <w:szCs w:val="16"/>
        <w:u w:val="single"/>
      </w:rPr>
      <w:t xml:space="preserve"> info@idp.al</w:t>
    </w:r>
    <w:r w:rsidRPr="001B6125">
      <w:rPr>
        <w:color w:val="0070C0"/>
        <w:sz w:val="16"/>
        <w:szCs w:val="16"/>
      </w:rPr>
      <w:tab/>
    </w:r>
  </w:p>
  <w:p w:rsidR="00B538F4" w:rsidRDefault="00B538F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8F4" w:rsidRDefault="00B538F4" w:rsidP="000D005B"/>
  <w:p w:rsidR="00B538F4" w:rsidRDefault="00B538F4" w:rsidP="000D005B">
    <w:pPr>
      <w:pStyle w:val="Footer"/>
    </w:pPr>
    <w:r>
      <w:rPr>
        <w:noProof/>
        <w:lang w:val="en-US" w:eastAsia="en-US"/>
      </w:rPr>
      <mc:AlternateContent>
        <mc:Choice Requires="wps">
          <w:drawing>
            <wp:anchor distT="4294967291" distB="4294967291" distL="114300" distR="114300" simplePos="0" relativeHeight="251659264" behindDoc="0" locked="0" layoutInCell="1" allowOverlap="1">
              <wp:simplePos x="0" y="0"/>
              <wp:positionH relativeFrom="column">
                <wp:posOffset>-41910</wp:posOffset>
              </wp:positionH>
              <wp:positionV relativeFrom="paragraph">
                <wp:posOffset>-29846</wp:posOffset>
              </wp:positionV>
              <wp:extent cx="5436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62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8F63F46"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3.3pt,-2.35pt" to="42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" strokecolor="black [3213]" strokeweight="1.5pt">
              <o:lock v:ext="edit" shapetype="f"/>
            </v:line>
          </w:pict>
        </mc:Fallback>
      </mc:AlternateConten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w:t>
    </w:r>
    <w:r>
      <w:rPr>
        <w:bCs/>
        <w:sz w:val="16"/>
        <w:szCs w:val="16"/>
      </w:rPr>
      <w:t>ë</w:t>
    </w:r>
    <w:r w:rsidRPr="009D51CA">
      <w:rPr>
        <w:bCs/>
        <w:sz w:val="16"/>
        <w:szCs w:val="16"/>
      </w:rPr>
      <w:t>”</w:t>
    </w:r>
    <w:r>
      <w:rPr>
        <w:bCs/>
        <w:sz w:val="16"/>
        <w:szCs w:val="16"/>
      </w:rPr>
      <w:t xml:space="preserve">,                        </w:t>
    </w:r>
    <w:r w:rsidRPr="009D51CA">
      <w:rPr>
        <w:sz w:val="16"/>
        <w:szCs w:val="16"/>
      </w:rPr>
      <w:t>Telefon:00355 42237200</w:t>
    </w:r>
    <w:r>
      <w:rPr>
        <w:sz w:val="16"/>
        <w:szCs w:val="16"/>
      </w:rPr>
      <w:t xml:space="preserve">,                                     </w:t>
    </w:r>
    <w:hyperlink r:id="rId1" w:history="1">
      <w:r w:rsidRPr="003C1980">
        <w:rPr>
          <w:rStyle w:val="Hyperlink"/>
          <w:sz w:val="16"/>
          <w:szCs w:val="16"/>
        </w:rPr>
        <w:t>www.idp.al</w:t>
      </w:r>
    </w:hyperlink>
    <w:r w:rsidRPr="00A02BAF">
      <w:rPr>
        <w:color w:val="365F91" w:themeColor="accent1" w:themeShade="BF"/>
        <w:sz w:val="16"/>
        <w:szCs w:val="16"/>
        <w:u w:val="single"/>
      </w:rPr>
      <w:t xml:space="preserve"> info@idp.al</w:t>
    </w:r>
    <w:r w:rsidRPr="001B6125">
      <w:rPr>
        <w:color w:val="0070C0"/>
        <w:sz w:val="16"/>
        <w:szCs w:val="16"/>
      </w:rPr>
      <w:tab/>
    </w:r>
  </w:p>
  <w:p w:rsidR="00B538F4" w:rsidRPr="005855EA" w:rsidRDefault="00B538F4" w:rsidP="000D00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8F4" w:rsidRDefault="00B538F4">
      <w:r>
        <w:separator/>
      </w:r>
    </w:p>
  </w:footnote>
  <w:footnote w:type="continuationSeparator" w:id="0">
    <w:p w:rsidR="00B538F4" w:rsidRDefault="00B538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5CF"/>
    <w:multiLevelType w:val="hybridMultilevel"/>
    <w:tmpl w:val="730AC088"/>
    <w:lvl w:ilvl="0" w:tplc="1422DF5C">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35C5CA0"/>
    <w:multiLevelType w:val="hybridMultilevel"/>
    <w:tmpl w:val="3B103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10CBF"/>
    <w:multiLevelType w:val="hybridMultilevel"/>
    <w:tmpl w:val="56F8CA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742D76"/>
    <w:multiLevelType w:val="hybridMultilevel"/>
    <w:tmpl w:val="7E529F8E"/>
    <w:lvl w:ilvl="0" w:tplc="A31A91A2">
      <w:start w:val="1"/>
      <w:numFmt w:val="bullet"/>
      <w:lvlText w:val=""/>
      <w:lvlJc w:val="left"/>
      <w:pPr>
        <w:ind w:left="720" w:hanging="360"/>
      </w:pPr>
      <w:rPr>
        <w:rFonts w:ascii="Wingdings" w:hAnsi="Wingdings" w:hint="default"/>
        <w:b w:val="0"/>
        <w:color w:val="EF8D0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E37D4"/>
    <w:multiLevelType w:val="hybridMultilevel"/>
    <w:tmpl w:val="F546264E"/>
    <w:lvl w:ilvl="0" w:tplc="041C0001">
      <w:start w:val="1"/>
      <w:numFmt w:val="bullet"/>
      <w:lvlText w:val=""/>
      <w:lvlJc w:val="left"/>
      <w:pPr>
        <w:ind w:left="360" w:hanging="360"/>
      </w:pPr>
      <w:rPr>
        <w:rFonts w:ascii="Symbol" w:hAnsi="Symbol" w:hint="default"/>
      </w:rPr>
    </w:lvl>
    <w:lvl w:ilvl="1" w:tplc="041C0001">
      <w:start w:val="1"/>
      <w:numFmt w:val="bullet"/>
      <w:lvlText w:val=""/>
      <w:lvlJc w:val="left"/>
      <w:pPr>
        <w:ind w:left="1080" w:hanging="360"/>
      </w:pPr>
      <w:rPr>
        <w:rFonts w:ascii="Symbol" w:hAnsi="Symbol"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 w15:restartNumberingAfterBreak="0">
    <w:nsid w:val="1B3B6BAF"/>
    <w:multiLevelType w:val="hybridMultilevel"/>
    <w:tmpl w:val="A7D40E46"/>
    <w:lvl w:ilvl="0" w:tplc="6C4C019C">
      <w:start w:val="1"/>
      <w:numFmt w:val="bullet"/>
      <w:lvlText w:val="-"/>
      <w:lvlJc w:val="left"/>
      <w:pPr>
        <w:ind w:left="720" w:hanging="360"/>
      </w:pPr>
      <w:rPr>
        <w:rFonts w:ascii="Verdana" w:hAnsi="Verdana"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22362E20"/>
    <w:multiLevelType w:val="hybridMultilevel"/>
    <w:tmpl w:val="89E46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3D2DA0"/>
    <w:multiLevelType w:val="hybridMultilevel"/>
    <w:tmpl w:val="05D62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17667"/>
    <w:multiLevelType w:val="hybridMultilevel"/>
    <w:tmpl w:val="821291CA"/>
    <w:lvl w:ilvl="0" w:tplc="E946A850">
      <w:start w:val="2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6E68CE"/>
    <w:multiLevelType w:val="hybridMultilevel"/>
    <w:tmpl w:val="6958B960"/>
    <w:lvl w:ilvl="0" w:tplc="041C000F">
      <w:start w:val="1"/>
      <w:numFmt w:val="decimal"/>
      <w:lvlText w:val="%1."/>
      <w:lvlJc w:val="left"/>
      <w:pPr>
        <w:ind w:left="502" w:hanging="360"/>
      </w:pPr>
      <w:rPr>
        <w:rFonts w:hint="default"/>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10" w15:restartNumberingAfterBreak="0">
    <w:nsid w:val="2A7341D1"/>
    <w:multiLevelType w:val="hybridMultilevel"/>
    <w:tmpl w:val="EF263EDC"/>
    <w:lvl w:ilvl="0" w:tplc="AB5096BA">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37A3226F"/>
    <w:multiLevelType w:val="hybridMultilevel"/>
    <w:tmpl w:val="69EE3A7E"/>
    <w:lvl w:ilvl="0" w:tplc="6C4C019C">
      <w:start w:val="1"/>
      <w:numFmt w:val="bullet"/>
      <w:lvlText w:val="-"/>
      <w:lvlJc w:val="left"/>
      <w:pPr>
        <w:ind w:left="360" w:hanging="360"/>
      </w:pPr>
      <w:rPr>
        <w:rFonts w:ascii="Verdana" w:hAnsi="Verdana"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39D27AE6"/>
    <w:multiLevelType w:val="hybridMultilevel"/>
    <w:tmpl w:val="97F2C8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361130"/>
    <w:multiLevelType w:val="hybridMultilevel"/>
    <w:tmpl w:val="1BCE30B2"/>
    <w:lvl w:ilvl="0" w:tplc="9BD268B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238A1"/>
    <w:multiLevelType w:val="hybridMultilevel"/>
    <w:tmpl w:val="37B205DE"/>
    <w:lvl w:ilvl="0" w:tplc="041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CA25C2"/>
    <w:multiLevelType w:val="hybridMultilevel"/>
    <w:tmpl w:val="69BE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786"/>
        </w:tabs>
        <w:ind w:left="786"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603EB1"/>
    <w:multiLevelType w:val="hybridMultilevel"/>
    <w:tmpl w:val="88AA890C"/>
    <w:lvl w:ilvl="0" w:tplc="0C66EBCA">
      <w:start w:val="1"/>
      <w:numFmt w:val="lowerRoman"/>
      <w:lvlText w:val="%1."/>
      <w:lvlJc w:val="right"/>
      <w:pPr>
        <w:ind w:left="1440" w:hanging="360"/>
      </w:pPr>
      <w:rPr>
        <w:rFonts w:ascii="Times New Roman" w:hAnsi="Times New Roman" w:cs="Times New Roman" w:hint="default"/>
        <w:b w:val="0"/>
        <w:color w:val="EF8D0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840C30"/>
    <w:multiLevelType w:val="hybridMultilevel"/>
    <w:tmpl w:val="A15019B0"/>
    <w:lvl w:ilvl="0" w:tplc="FD2C1236">
      <w:start w:val="1"/>
      <w:numFmt w:val="bullet"/>
      <w:lvlText w:val=""/>
      <w:lvlJc w:val="left"/>
      <w:pPr>
        <w:ind w:left="360" w:hanging="360"/>
      </w:pPr>
      <w:rPr>
        <w:rFonts w:ascii="Wingdings" w:hAnsi="Wingdings" w:hint="default"/>
        <w:color w:val="8B176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0E124C"/>
    <w:multiLevelType w:val="hybridMultilevel"/>
    <w:tmpl w:val="507AB466"/>
    <w:lvl w:ilvl="0" w:tplc="04090009">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0" w15:restartNumberingAfterBreak="0">
    <w:nsid w:val="49760AA8"/>
    <w:multiLevelType w:val="hybridMultilevel"/>
    <w:tmpl w:val="83FE29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971B0"/>
    <w:multiLevelType w:val="hybridMultilevel"/>
    <w:tmpl w:val="014296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54FE8"/>
    <w:multiLevelType w:val="hybridMultilevel"/>
    <w:tmpl w:val="DB1084FA"/>
    <w:lvl w:ilvl="0" w:tplc="CC3498E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9501D3"/>
    <w:multiLevelType w:val="hybridMultilevel"/>
    <w:tmpl w:val="4A925C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42261"/>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173D7"/>
    <w:multiLevelType w:val="hybridMultilevel"/>
    <w:tmpl w:val="ADAC4200"/>
    <w:lvl w:ilvl="0" w:tplc="D09EB9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14C8F"/>
    <w:multiLevelType w:val="hybridMultilevel"/>
    <w:tmpl w:val="F440BE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846B0"/>
    <w:multiLevelType w:val="hybridMultilevel"/>
    <w:tmpl w:val="32F08ADC"/>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8" w15:restartNumberingAfterBreak="0">
    <w:nsid w:val="5A9F4C6B"/>
    <w:multiLevelType w:val="hybridMultilevel"/>
    <w:tmpl w:val="E3746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303B0"/>
    <w:multiLevelType w:val="hybridMultilevel"/>
    <w:tmpl w:val="9156F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B1899"/>
    <w:multiLevelType w:val="hybridMultilevel"/>
    <w:tmpl w:val="74927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622D4"/>
    <w:multiLevelType w:val="hybridMultilevel"/>
    <w:tmpl w:val="C7D013FE"/>
    <w:lvl w:ilvl="0" w:tplc="6C4C019C">
      <w:start w:val="1"/>
      <w:numFmt w:val="bullet"/>
      <w:lvlText w:val="-"/>
      <w:lvlJc w:val="left"/>
      <w:pPr>
        <w:ind w:left="720" w:hanging="360"/>
      </w:pPr>
      <w:rPr>
        <w:rFonts w:ascii="Verdana" w:hAnsi="Verdana"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 w15:restartNumberingAfterBreak="0">
    <w:nsid w:val="6A9A5A07"/>
    <w:multiLevelType w:val="hybridMultilevel"/>
    <w:tmpl w:val="112E6F98"/>
    <w:lvl w:ilvl="0" w:tplc="9BD268BE">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BF71ED"/>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221905"/>
    <w:multiLevelType w:val="hybridMultilevel"/>
    <w:tmpl w:val="D2CC71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590B8A"/>
    <w:multiLevelType w:val="hybridMultilevel"/>
    <w:tmpl w:val="DAF81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9F60F4"/>
    <w:multiLevelType w:val="hybridMultilevel"/>
    <w:tmpl w:val="90B29208"/>
    <w:lvl w:ilvl="0" w:tplc="6C4C019C">
      <w:start w:val="1"/>
      <w:numFmt w:val="bullet"/>
      <w:lvlText w:val="-"/>
      <w:lvlJc w:val="left"/>
      <w:pPr>
        <w:ind w:left="720" w:hanging="360"/>
      </w:pPr>
      <w:rPr>
        <w:rFonts w:ascii="Verdana" w:hAnsi="Verdana"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7" w15:restartNumberingAfterBreak="0">
    <w:nsid w:val="786045DF"/>
    <w:multiLevelType w:val="hybridMultilevel"/>
    <w:tmpl w:val="563244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45FF0"/>
    <w:multiLevelType w:val="hybridMultilevel"/>
    <w:tmpl w:val="7BCA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F25E1"/>
    <w:multiLevelType w:val="hybridMultilevel"/>
    <w:tmpl w:val="DF6CC61E"/>
    <w:lvl w:ilvl="0" w:tplc="80B05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76F1D"/>
    <w:multiLevelType w:val="hybridMultilevel"/>
    <w:tmpl w:val="B7E0A9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9"/>
  </w:num>
  <w:num w:numId="4">
    <w:abstractNumId w:val="24"/>
  </w:num>
  <w:num w:numId="5">
    <w:abstractNumId w:val="12"/>
  </w:num>
  <w:num w:numId="6">
    <w:abstractNumId w:val="14"/>
  </w:num>
  <w:num w:numId="7">
    <w:abstractNumId w:val="9"/>
  </w:num>
  <w:num w:numId="8">
    <w:abstractNumId w:val="0"/>
  </w:num>
  <w:num w:numId="9">
    <w:abstractNumId w:val="37"/>
  </w:num>
  <w:num w:numId="10">
    <w:abstractNumId w:val="32"/>
  </w:num>
  <w:num w:numId="11">
    <w:abstractNumId w:val="31"/>
  </w:num>
  <w:num w:numId="12">
    <w:abstractNumId w:val="30"/>
  </w:num>
  <w:num w:numId="13">
    <w:abstractNumId w:val="33"/>
  </w:num>
  <w:num w:numId="14">
    <w:abstractNumId w:val="10"/>
  </w:num>
  <w:num w:numId="15">
    <w:abstractNumId w:val="11"/>
  </w:num>
  <w:num w:numId="16">
    <w:abstractNumId w:val="40"/>
  </w:num>
  <w:num w:numId="17">
    <w:abstractNumId w:val="18"/>
  </w:num>
  <w:num w:numId="18">
    <w:abstractNumId w:val="8"/>
  </w:num>
  <w:num w:numId="19">
    <w:abstractNumId w:val="36"/>
  </w:num>
  <w:num w:numId="20">
    <w:abstractNumId w:val="5"/>
  </w:num>
  <w:num w:numId="21">
    <w:abstractNumId w:val="20"/>
  </w:num>
  <w:num w:numId="22">
    <w:abstractNumId w:val="39"/>
  </w:num>
  <w:num w:numId="23">
    <w:abstractNumId w:val="27"/>
  </w:num>
  <w:num w:numId="24">
    <w:abstractNumId w:val="4"/>
  </w:num>
  <w:num w:numId="25">
    <w:abstractNumId w:val="34"/>
  </w:num>
  <w:num w:numId="26">
    <w:abstractNumId w:val="28"/>
  </w:num>
  <w:num w:numId="27">
    <w:abstractNumId w:val="1"/>
  </w:num>
  <w:num w:numId="28">
    <w:abstractNumId w:val="22"/>
  </w:num>
  <w:num w:numId="29">
    <w:abstractNumId w:val="21"/>
  </w:num>
  <w:num w:numId="30">
    <w:abstractNumId w:val="17"/>
  </w:num>
  <w:num w:numId="31">
    <w:abstractNumId w:val="23"/>
  </w:num>
  <w:num w:numId="32">
    <w:abstractNumId w:val="13"/>
  </w:num>
  <w:num w:numId="33">
    <w:abstractNumId w:val="3"/>
  </w:num>
  <w:num w:numId="34">
    <w:abstractNumId w:val="2"/>
  </w:num>
  <w:num w:numId="35">
    <w:abstractNumId w:val="6"/>
  </w:num>
  <w:num w:numId="36">
    <w:abstractNumId w:val="15"/>
  </w:num>
  <w:num w:numId="37">
    <w:abstractNumId w:val="7"/>
  </w:num>
  <w:num w:numId="38">
    <w:abstractNumId w:val="25"/>
  </w:num>
  <w:num w:numId="39">
    <w:abstractNumId w:val="38"/>
  </w:num>
  <w:num w:numId="40">
    <w:abstractNumId w:val="26"/>
  </w:num>
  <w:num w:numId="41">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2D"/>
    <w:rsid w:val="00000F0F"/>
    <w:rsid w:val="00004B0D"/>
    <w:rsid w:val="00004B8D"/>
    <w:rsid w:val="00006A86"/>
    <w:rsid w:val="00014C4C"/>
    <w:rsid w:val="000151E0"/>
    <w:rsid w:val="0001728F"/>
    <w:rsid w:val="00025DE5"/>
    <w:rsid w:val="0003210C"/>
    <w:rsid w:val="00033CAB"/>
    <w:rsid w:val="00037310"/>
    <w:rsid w:val="00040C85"/>
    <w:rsid w:val="00042D83"/>
    <w:rsid w:val="00043A2F"/>
    <w:rsid w:val="00051B79"/>
    <w:rsid w:val="00054E38"/>
    <w:rsid w:val="00056231"/>
    <w:rsid w:val="00062445"/>
    <w:rsid w:val="00071662"/>
    <w:rsid w:val="00075913"/>
    <w:rsid w:val="0008276B"/>
    <w:rsid w:val="0008356D"/>
    <w:rsid w:val="0008679C"/>
    <w:rsid w:val="00090774"/>
    <w:rsid w:val="00090E89"/>
    <w:rsid w:val="00091C23"/>
    <w:rsid w:val="000A1480"/>
    <w:rsid w:val="000B6843"/>
    <w:rsid w:val="000D005B"/>
    <w:rsid w:val="000D1016"/>
    <w:rsid w:val="000D6A9A"/>
    <w:rsid w:val="000E3823"/>
    <w:rsid w:val="000F0577"/>
    <w:rsid w:val="000F2C7F"/>
    <w:rsid w:val="000F5EC4"/>
    <w:rsid w:val="000F67A8"/>
    <w:rsid w:val="000F708F"/>
    <w:rsid w:val="000F7C1E"/>
    <w:rsid w:val="001016B1"/>
    <w:rsid w:val="001038A8"/>
    <w:rsid w:val="00103D5B"/>
    <w:rsid w:val="001041C7"/>
    <w:rsid w:val="00106A73"/>
    <w:rsid w:val="00106CA5"/>
    <w:rsid w:val="001121FF"/>
    <w:rsid w:val="001133CC"/>
    <w:rsid w:val="001150AF"/>
    <w:rsid w:val="00116138"/>
    <w:rsid w:val="001164B2"/>
    <w:rsid w:val="00116929"/>
    <w:rsid w:val="00121A75"/>
    <w:rsid w:val="001237AF"/>
    <w:rsid w:val="001277D3"/>
    <w:rsid w:val="0013264C"/>
    <w:rsid w:val="0014151B"/>
    <w:rsid w:val="00142DA4"/>
    <w:rsid w:val="00144A3E"/>
    <w:rsid w:val="00144A44"/>
    <w:rsid w:val="00145E50"/>
    <w:rsid w:val="001511AE"/>
    <w:rsid w:val="00153F45"/>
    <w:rsid w:val="001553F2"/>
    <w:rsid w:val="00156666"/>
    <w:rsid w:val="00167DF4"/>
    <w:rsid w:val="001720A5"/>
    <w:rsid w:val="00172348"/>
    <w:rsid w:val="00172FD6"/>
    <w:rsid w:val="00175EF3"/>
    <w:rsid w:val="00180FD0"/>
    <w:rsid w:val="00186598"/>
    <w:rsid w:val="00186993"/>
    <w:rsid w:val="00190373"/>
    <w:rsid w:val="001A0934"/>
    <w:rsid w:val="001A46F6"/>
    <w:rsid w:val="001A6E30"/>
    <w:rsid w:val="001B183B"/>
    <w:rsid w:val="001C0E0A"/>
    <w:rsid w:val="001C324F"/>
    <w:rsid w:val="001C3ACF"/>
    <w:rsid w:val="001C6699"/>
    <w:rsid w:val="001C76F8"/>
    <w:rsid w:val="001D0241"/>
    <w:rsid w:val="001D40C0"/>
    <w:rsid w:val="001D5346"/>
    <w:rsid w:val="001D6BB1"/>
    <w:rsid w:val="001D6C97"/>
    <w:rsid w:val="001E43FA"/>
    <w:rsid w:val="001E50D2"/>
    <w:rsid w:val="001E62B6"/>
    <w:rsid w:val="001E7A2B"/>
    <w:rsid w:val="001E7E59"/>
    <w:rsid w:val="001F2826"/>
    <w:rsid w:val="001F2A99"/>
    <w:rsid w:val="001F3088"/>
    <w:rsid w:val="001F689D"/>
    <w:rsid w:val="002053C0"/>
    <w:rsid w:val="00207B11"/>
    <w:rsid w:val="00210078"/>
    <w:rsid w:val="0021561C"/>
    <w:rsid w:val="00221860"/>
    <w:rsid w:val="00225F82"/>
    <w:rsid w:val="002307E7"/>
    <w:rsid w:val="0023101E"/>
    <w:rsid w:val="00232C93"/>
    <w:rsid w:val="002335A0"/>
    <w:rsid w:val="002355F6"/>
    <w:rsid w:val="002413A7"/>
    <w:rsid w:val="00242270"/>
    <w:rsid w:val="00242F25"/>
    <w:rsid w:val="00243728"/>
    <w:rsid w:val="002439E0"/>
    <w:rsid w:val="002444C4"/>
    <w:rsid w:val="00246061"/>
    <w:rsid w:val="00252E85"/>
    <w:rsid w:val="002623A8"/>
    <w:rsid w:val="002631A5"/>
    <w:rsid w:val="0026330C"/>
    <w:rsid w:val="00264575"/>
    <w:rsid w:val="002651B7"/>
    <w:rsid w:val="002733CC"/>
    <w:rsid w:val="002752D4"/>
    <w:rsid w:val="00276C7D"/>
    <w:rsid w:val="002816AD"/>
    <w:rsid w:val="00282CC7"/>
    <w:rsid w:val="00291B97"/>
    <w:rsid w:val="0029582B"/>
    <w:rsid w:val="002A0F80"/>
    <w:rsid w:val="002A3745"/>
    <w:rsid w:val="002A3BD9"/>
    <w:rsid w:val="002A3C97"/>
    <w:rsid w:val="002A3E4B"/>
    <w:rsid w:val="002A469E"/>
    <w:rsid w:val="002A57A7"/>
    <w:rsid w:val="002B325B"/>
    <w:rsid w:val="002B5C23"/>
    <w:rsid w:val="002B76D2"/>
    <w:rsid w:val="002B7965"/>
    <w:rsid w:val="002C359A"/>
    <w:rsid w:val="002C3FD3"/>
    <w:rsid w:val="002C4ED1"/>
    <w:rsid w:val="002D1EA9"/>
    <w:rsid w:val="002D5608"/>
    <w:rsid w:val="002D7683"/>
    <w:rsid w:val="002E6E1D"/>
    <w:rsid w:val="002E7AFA"/>
    <w:rsid w:val="002E7F4E"/>
    <w:rsid w:val="002F20E2"/>
    <w:rsid w:val="002F2736"/>
    <w:rsid w:val="002F53B8"/>
    <w:rsid w:val="002F7CB0"/>
    <w:rsid w:val="00310570"/>
    <w:rsid w:val="00311045"/>
    <w:rsid w:val="00313ADB"/>
    <w:rsid w:val="00320203"/>
    <w:rsid w:val="00321213"/>
    <w:rsid w:val="00321271"/>
    <w:rsid w:val="00321FF4"/>
    <w:rsid w:val="003262F0"/>
    <w:rsid w:val="003318E3"/>
    <w:rsid w:val="00341CCD"/>
    <w:rsid w:val="00342679"/>
    <w:rsid w:val="003433CE"/>
    <w:rsid w:val="00345F47"/>
    <w:rsid w:val="003467D1"/>
    <w:rsid w:val="00354020"/>
    <w:rsid w:val="00355F8A"/>
    <w:rsid w:val="00356762"/>
    <w:rsid w:val="003575F7"/>
    <w:rsid w:val="00357E39"/>
    <w:rsid w:val="00363F52"/>
    <w:rsid w:val="003651E2"/>
    <w:rsid w:val="003672D8"/>
    <w:rsid w:val="00373F7F"/>
    <w:rsid w:val="00381869"/>
    <w:rsid w:val="00382535"/>
    <w:rsid w:val="00385F1D"/>
    <w:rsid w:val="0039541B"/>
    <w:rsid w:val="00397223"/>
    <w:rsid w:val="003A22F6"/>
    <w:rsid w:val="003A2761"/>
    <w:rsid w:val="003A33F8"/>
    <w:rsid w:val="003A4554"/>
    <w:rsid w:val="003A45B2"/>
    <w:rsid w:val="003A5DE9"/>
    <w:rsid w:val="003B469F"/>
    <w:rsid w:val="003C3A7D"/>
    <w:rsid w:val="003C4982"/>
    <w:rsid w:val="003D1B50"/>
    <w:rsid w:val="003D1FBB"/>
    <w:rsid w:val="003D27D2"/>
    <w:rsid w:val="003E0642"/>
    <w:rsid w:val="003E090F"/>
    <w:rsid w:val="003E1CF4"/>
    <w:rsid w:val="003E1FC1"/>
    <w:rsid w:val="003E22B5"/>
    <w:rsid w:val="003E2368"/>
    <w:rsid w:val="003E3CAB"/>
    <w:rsid w:val="003F0960"/>
    <w:rsid w:val="003F2259"/>
    <w:rsid w:val="003F3456"/>
    <w:rsid w:val="003F6577"/>
    <w:rsid w:val="003F69B0"/>
    <w:rsid w:val="004001A5"/>
    <w:rsid w:val="00401FB3"/>
    <w:rsid w:val="004203F0"/>
    <w:rsid w:val="00430C5A"/>
    <w:rsid w:val="004329D1"/>
    <w:rsid w:val="00434D7E"/>
    <w:rsid w:val="0043552A"/>
    <w:rsid w:val="00436C33"/>
    <w:rsid w:val="00441F14"/>
    <w:rsid w:val="00444A64"/>
    <w:rsid w:val="00447A3C"/>
    <w:rsid w:val="0045389E"/>
    <w:rsid w:val="0045419C"/>
    <w:rsid w:val="00454F5B"/>
    <w:rsid w:val="00456A4C"/>
    <w:rsid w:val="0046632E"/>
    <w:rsid w:val="004732BD"/>
    <w:rsid w:val="00475B8F"/>
    <w:rsid w:val="00480412"/>
    <w:rsid w:val="0048228C"/>
    <w:rsid w:val="00485746"/>
    <w:rsid w:val="00487726"/>
    <w:rsid w:val="00487D8D"/>
    <w:rsid w:val="00490279"/>
    <w:rsid w:val="00490452"/>
    <w:rsid w:val="00491821"/>
    <w:rsid w:val="004919E8"/>
    <w:rsid w:val="00495D66"/>
    <w:rsid w:val="00497A5C"/>
    <w:rsid w:val="004A1A46"/>
    <w:rsid w:val="004A1B74"/>
    <w:rsid w:val="004A7BBA"/>
    <w:rsid w:val="004B1AAE"/>
    <w:rsid w:val="004B32B7"/>
    <w:rsid w:val="004B3AC9"/>
    <w:rsid w:val="004C1BA7"/>
    <w:rsid w:val="004C7568"/>
    <w:rsid w:val="004D0754"/>
    <w:rsid w:val="004D1682"/>
    <w:rsid w:val="004D2095"/>
    <w:rsid w:val="004D7CC9"/>
    <w:rsid w:val="004E4740"/>
    <w:rsid w:val="004E56B2"/>
    <w:rsid w:val="004F5EBD"/>
    <w:rsid w:val="004F6429"/>
    <w:rsid w:val="005010E7"/>
    <w:rsid w:val="0050708D"/>
    <w:rsid w:val="0051013C"/>
    <w:rsid w:val="00510CA8"/>
    <w:rsid w:val="00511183"/>
    <w:rsid w:val="0051156C"/>
    <w:rsid w:val="00516663"/>
    <w:rsid w:val="0052323A"/>
    <w:rsid w:val="0052360C"/>
    <w:rsid w:val="00532310"/>
    <w:rsid w:val="0053465F"/>
    <w:rsid w:val="00535B32"/>
    <w:rsid w:val="00536A9F"/>
    <w:rsid w:val="00536C27"/>
    <w:rsid w:val="00536D6A"/>
    <w:rsid w:val="00545CA9"/>
    <w:rsid w:val="0054636E"/>
    <w:rsid w:val="005468A6"/>
    <w:rsid w:val="005508D8"/>
    <w:rsid w:val="005537C8"/>
    <w:rsid w:val="00554536"/>
    <w:rsid w:val="00554F54"/>
    <w:rsid w:val="00556C7D"/>
    <w:rsid w:val="00556F85"/>
    <w:rsid w:val="0055748C"/>
    <w:rsid w:val="00560291"/>
    <w:rsid w:val="00562AA7"/>
    <w:rsid w:val="00563422"/>
    <w:rsid w:val="00571002"/>
    <w:rsid w:val="005725F0"/>
    <w:rsid w:val="00575816"/>
    <w:rsid w:val="005814B3"/>
    <w:rsid w:val="0058292B"/>
    <w:rsid w:val="00583CF8"/>
    <w:rsid w:val="005917D3"/>
    <w:rsid w:val="005922FF"/>
    <w:rsid w:val="00594E25"/>
    <w:rsid w:val="00594F2D"/>
    <w:rsid w:val="005A2E96"/>
    <w:rsid w:val="005A6879"/>
    <w:rsid w:val="005B1C04"/>
    <w:rsid w:val="005B2398"/>
    <w:rsid w:val="005B3A4B"/>
    <w:rsid w:val="005C6C4D"/>
    <w:rsid w:val="005D22D9"/>
    <w:rsid w:val="005E40EF"/>
    <w:rsid w:val="005E4942"/>
    <w:rsid w:val="005F0A7B"/>
    <w:rsid w:val="005F0BD7"/>
    <w:rsid w:val="005F2CE4"/>
    <w:rsid w:val="006041D2"/>
    <w:rsid w:val="006045BF"/>
    <w:rsid w:val="00605778"/>
    <w:rsid w:val="00613520"/>
    <w:rsid w:val="00620864"/>
    <w:rsid w:val="006249F7"/>
    <w:rsid w:val="00625EAB"/>
    <w:rsid w:val="006324AE"/>
    <w:rsid w:val="006350B9"/>
    <w:rsid w:val="00640CE0"/>
    <w:rsid w:val="00651741"/>
    <w:rsid w:val="00652E8D"/>
    <w:rsid w:val="0065380F"/>
    <w:rsid w:val="006546E8"/>
    <w:rsid w:val="006560A0"/>
    <w:rsid w:val="006566C8"/>
    <w:rsid w:val="00657107"/>
    <w:rsid w:val="00661A9B"/>
    <w:rsid w:val="00662C70"/>
    <w:rsid w:val="0066303F"/>
    <w:rsid w:val="00663DBC"/>
    <w:rsid w:val="00665FC2"/>
    <w:rsid w:val="006668AF"/>
    <w:rsid w:val="00667B75"/>
    <w:rsid w:val="00667EF5"/>
    <w:rsid w:val="006760C0"/>
    <w:rsid w:val="00676B75"/>
    <w:rsid w:val="0068030E"/>
    <w:rsid w:val="00681900"/>
    <w:rsid w:val="00683F25"/>
    <w:rsid w:val="00697983"/>
    <w:rsid w:val="006A0A02"/>
    <w:rsid w:val="006A2BAB"/>
    <w:rsid w:val="006A75FB"/>
    <w:rsid w:val="006B05A4"/>
    <w:rsid w:val="006B1688"/>
    <w:rsid w:val="006B43FE"/>
    <w:rsid w:val="006B4975"/>
    <w:rsid w:val="006C1A25"/>
    <w:rsid w:val="006C3F65"/>
    <w:rsid w:val="006C4787"/>
    <w:rsid w:val="006C5ED0"/>
    <w:rsid w:val="006C7603"/>
    <w:rsid w:val="006D0013"/>
    <w:rsid w:val="006D29A1"/>
    <w:rsid w:val="006D4943"/>
    <w:rsid w:val="006D77C1"/>
    <w:rsid w:val="006E1BFB"/>
    <w:rsid w:val="006E2846"/>
    <w:rsid w:val="006E28BF"/>
    <w:rsid w:val="006E43BC"/>
    <w:rsid w:val="006E6E9E"/>
    <w:rsid w:val="006F2A57"/>
    <w:rsid w:val="006F5402"/>
    <w:rsid w:val="006F562A"/>
    <w:rsid w:val="006F726C"/>
    <w:rsid w:val="00706405"/>
    <w:rsid w:val="00712FEF"/>
    <w:rsid w:val="00715654"/>
    <w:rsid w:val="00717282"/>
    <w:rsid w:val="007203F1"/>
    <w:rsid w:val="0073050B"/>
    <w:rsid w:val="00742054"/>
    <w:rsid w:val="00742AFC"/>
    <w:rsid w:val="0074505B"/>
    <w:rsid w:val="00745D43"/>
    <w:rsid w:val="007540EE"/>
    <w:rsid w:val="00754285"/>
    <w:rsid w:val="007578F5"/>
    <w:rsid w:val="00762000"/>
    <w:rsid w:val="007629A2"/>
    <w:rsid w:val="007648BC"/>
    <w:rsid w:val="0077481A"/>
    <w:rsid w:val="007757C8"/>
    <w:rsid w:val="00775DFA"/>
    <w:rsid w:val="0077621E"/>
    <w:rsid w:val="00782FDE"/>
    <w:rsid w:val="00785604"/>
    <w:rsid w:val="00786711"/>
    <w:rsid w:val="0078754E"/>
    <w:rsid w:val="007879EC"/>
    <w:rsid w:val="00790091"/>
    <w:rsid w:val="00793E8F"/>
    <w:rsid w:val="0079764C"/>
    <w:rsid w:val="007979E7"/>
    <w:rsid w:val="007A04DB"/>
    <w:rsid w:val="007A4279"/>
    <w:rsid w:val="007B16CC"/>
    <w:rsid w:val="007B18E5"/>
    <w:rsid w:val="007B198B"/>
    <w:rsid w:val="007B261E"/>
    <w:rsid w:val="007C417D"/>
    <w:rsid w:val="007C4AEB"/>
    <w:rsid w:val="007D177F"/>
    <w:rsid w:val="007D4692"/>
    <w:rsid w:val="007D66B3"/>
    <w:rsid w:val="007E06B8"/>
    <w:rsid w:val="007E5E8C"/>
    <w:rsid w:val="007F44D7"/>
    <w:rsid w:val="007F4B40"/>
    <w:rsid w:val="007F68ED"/>
    <w:rsid w:val="007F7ECE"/>
    <w:rsid w:val="008003A3"/>
    <w:rsid w:val="00800E54"/>
    <w:rsid w:val="00800EDE"/>
    <w:rsid w:val="008011E5"/>
    <w:rsid w:val="008017B4"/>
    <w:rsid w:val="00802A50"/>
    <w:rsid w:val="00803AB1"/>
    <w:rsid w:val="008109FA"/>
    <w:rsid w:val="008111B8"/>
    <w:rsid w:val="0081143B"/>
    <w:rsid w:val="00817046"/>
    <w:rsid w:val="0082023B"/>
    <w:rsid w:val="0082582B"/>
    <w:rsid w:val="00826FEC"/>
    <w:rsid w:val="00833A91"/>
    <w:rsid w:val="00836181"/>
    <w:rsid w:val="00836746"/>
    <w:rsid w:val="00837383"/>
    <w:rsid w:val="0084017A"/>
    <w:rsid w:val="00840619"/>
    <w:rsid w:val="00847462"/>
    <w:rsid w:val="00854A88"/>
    <w:rsid w:val="0085638A"/>
    <w:rsid w:val="00861E98"/>
    <w:rsid w:val="008629BB"/>
    <w:rsid w:val="008637BE"/>
    <w:rsid w:val="00864C93"/>
    <w:rsid w:val="00864D7E"/>
    <w:rsid w:val="008663E7"/>
    <w:rsid w:val="00866C61"/>
    <w:rsid w:val="00867200"/>
    <w:rsid w:val="00872858"/>
    <w:rsid w:val="00873544"/>
    <w:rsid w:val="0087735F"/>
    <w:rsid w:val="008776B5"/>
    <w:rsid w:val="008802D5"/>
    <w:rsid w:val="008813F8"/>
    <w:rsid w:val="00883F19"/>
    <w:rsid w:val="00885ACA"/>
    <w:rsid w:val="008872CC"/>
    <w:rsid w:val="00890F90"/>
    <w:rsid w:val="00891D1A"/>
    <w:rsid w:val="00894ECD"/>
    <w:rsid w:val="0089631C"/>
    <w:rsid w:val="00896C32"/>
    <w:rsid w:val="008A3C94"/>
    <w:rsid w:val="008A4A6C"/>
    <w:rsid w:val="008B5BA4"/>
    <w:rsid w:val="008B69C4"/>
    <w:rsid w:val="008B70D5"/>
    <w:rsid w:val="008C1D0F"/>
    <w:rsid w:val="008C1D74"/>
    <w:rsid w:val="008C2B55"/>
    <w:rsid w:val="008C324B"/>
    <w:rsid w:val="008D09E8"/>
    <w:rsid w:val="008D1D46"/>
    <w:rsid w:val="008E2513"/>
    <w:rsid w:val="008E6199"/>
    <w:rsid w:val="008F2362"/>
    <w:rsid w:val="008F241F"/>
    <w:rsid w:val="008F5D98"/>
    <w:rsid w:val="008F6220"/>
    <w:rsid w:val="008F6A46"/>
    <w:rsid w:val="009013CB"/>
    <w:rsid w:val="00905952"/>
    <w:rsid w:val="009079DB"/>
    <w:rsid w:val="00911613"/>
    <w:rsid w:val="00911DAE"/>
    <w:rsid w:val="00912C37"/>
    <w:rsid w:val="00912D44"/>
    <w:rsid w:val="009150BD"/>
    <w:rsid w:val="00915D87"/>
    <w:rsid w:val="009164DF"/>
    <w:rsid w:val="00916E6D"/>
    <w:rsid w:val="00922FF8"/>
    <w:rsid w:val="00923364"/>
    <w:rsid w:val="0092613A"/>
    <w:rsid w:val="009332BA"/>
    <w:rsid w:val="0093442E"/>
    <w:rsid w:val="00935BA2"/>
    <w:rsid w:val="00936336"/>
    <w:rsid w:val="00937188"/>
    <w:rsid w:val="009418FB"/>
    <w:rsid w:val="0094376D"/>
    <w:rsid w:val="00946F38"/>
    <w:rsid w:val="009477E1"/>
    <w:rsid w:val="009518B7"/>
    <w:rsid w:val="00952853"/>
    <w:rsid w:val="0096029B"/>
    <w:rsid w:val="00963CA0"/>
    <w:rsid w:val="00964DE4"/>
    <w:rsid w:val="00970FF1"/>
    <w:rsid w:val="00972864"/>
    <w:rsid w:val="00977069"/>
    <w:rsid w:val="009830F6"/>
    <w:rsid w:val="00995145"/>
    <w:rsid w:val="00995F3A"/>
    <w:rsid w:val="009A1190"/>
    <w:rsid w:val="009A2F8D"/>
    <w:rsid w:val="009A3375"/>
    <w:rsid w:val="009A3395"/>
    <w:rsid w:val="009A6601"/>
    <w:rsid w:val="009B0295"/>
    <w:rsid w:val="009B090F"/>
    <w:rsid w:val="009B382B"/>
    <w:rsid w:val="009C4225"/>
    <w:rsid w:val="009C7864"/>
    <w:rsid w:val="009D2927"/>
    <w:rsid w:val="009D7775"/>
    <w:rsid w:val="009E16CB"/>
    <w:rsid w:val="009E3868"/>
    <w:rsid w:val="009F04F1"/>
    <w:rsid w:val="009F611F"/>
    <w:rsid w:val="009F67BD"/>
    <w:rsid w:val="009F7E26"/>
    <w:rsid w:val="00A007EF"/>
    <w:rsid w:val="00A020F4"/>
    <w:rsid w:val="00A026DB"/>
    <w:rsid w:val="00A039B4"/>
    <w:rsid w:val="00A055D3"/>
    <w:rsid w:val="00A10EC5"/>
    <w:rsid w:val="00A15680"/>
    <w:rsid w:val="00A15A57"/>
    <w:rsid w:val="00A172A0"/>
    <w:rsid w:val="00A17DDB"/>
    <w:rsid w:val="00A21D52"/>
    <w:rsid w:val="00A24498"/>
    <w:rsid w:val="00A31D41"/>
    <w:rsid w:val="00A323F0"/>
    <w:rsid w:val="00A33014"/>
    <w:rsid w:val="00A35B40"/>
    <w:rsid w:val="00A363AB"/>
    <w:rsid w:val="00A37590"/>
    <w:rsid w:val="00A403F9"/>
    <w:rsid w:val="00A4360A"/>
    <w:rsid w:val="00A448AE"/>
    <w:rsid w:val="00A453FF"/>
    <w:rsid w:val="00A60909"/>
    <w:rsid w:val="00A661DA"/>
    <w:rsid w:val="00A674BF"/>
    <w:rsid w:val="00A708BD"/>
    <w:rsid w:val="00A726A7"/>
    <w:rsid w:val="00A74D13"/>
    <w:rsid w:val="00A80E26"/>
    <w:rsid w:val="00A80E76"/>
    <w:rsid w:val="00A825DA"/>
    <w:rsid w:val="00A82827"/>
    <w:rsid w:val="00A82ABC"/>
    <w:rsid w:val="00A86EA9"/>
    <w:rsid w:val="00A90A1F"/>
    <w:rsid w:val="00A951C8"/>
    <w:rsid w:val="00AA1988"/>
    <w:rsid w:val="00AA34BA"/>
    <w:rsid w:val="00AA702F"/>
    <w:rsid w:val="00AA711C"/>
    <w:rsid w:val="00AA7B1E"/>
    <w:rsid w:val="00AA7CDD"/>
    <w:rsid w:val="00AB11E7"/>
    <w:rsid w:val="00AB3451"/>
    <w:rsid w:val="00AB3FCB"/>
    <w:rsid w:val="00AB5728"/>
    <w:rsid w:val="00AD07EF"/>
    <w:rsid w:val="00AD69F3"/>
    <w:rsid w:val="00AD6A73"/>
    <w:rsid w:val="00AD6F43"/>
    <w:rsid w:val="00AE04B4"/>
    <w:rsid w:val="00AE3A52"/>
    <w:rsid w:val="00AE7AB8"/>
    <w:rsid w:val="00AE7FED"/>
    <w:rsid w:val="00AF72DA"/>
    <w:rsid w:val="00AF7E54"/>
    <w:rsid w:val="00B06702"/>
    <w:rsid w:val="00B151C3"/>
    <w:rsid w:val="00B17F73"/>
    <w:rsid w:val="00B23374"/>
    <w:rsid w:val="00B23928"/>
    <w:rsid w:val="00B242EA"/>
    <w:rsid w:val="00B3224A"/>
    <w:rsid w:val="00B322CC"/>
    <w:rsid w:val="00B36B4B"/>
    <w:rsid w:val="00B434FF"/>
    <w:rsid w:val="00B45BDE"/>
    <w:rsid w:val="00B4607D"/>
    <w:rsid w:val="00B46BCF"/>
    <w:rsid w:val="00B519D0"/>
    <w:rsid w:val="00B538F4"/>
    <w:rsid w:val="00B55C53"/>
    <w:rsid w:val="00B6049A"/>
    <w:rsid w:val="00B62405"/>
    <w:rsid w:val="00B67628"/>
    <w:rsid w:val="00B70117"/>
    <w:rsid w:val="00B720E4"/>
    <w:rsid w:val="00B720FA"/>
    <w:rsid w:val="00B766F8"/>
    <w:rsid w:val="00B77E89"/>
    <w:rsid w:val="00B80D34"/>
    <w:rsid w:val="00B82F64"/>
    <w:rsid w:val="00B902A6"/>
    <w:rsid w:val="00B92571"/>
    <w:rsid w:val="00B9634F"/>
    <w:rsid w:val="00BA22B5"/>
    <w:rsid w:val="00BA2D34"/>
    <w:rsid w:val="00BA3973"/>
    <w:rsid w:val="00BA45FD"/>
    <w:rsid w:val="00BA5F9B"/>
    <w:rsid w:val="00BA690D"/>
    <w:rsid w:val="00BA6928"/>
    <w:rsid w:val="00BB1F3D"/>
    <w:rsid w:val="00BB2EF3"/>
    <w:rsid w:val="00BB3172"/>
    <w:rsid w:val="00BB40B2"/>
    <w:rsid w:val="00BB4A9D"/>
    <w:rsid w:val="00BC2353"/>
    <w:rsid w:val="00BC4E16"/>
    <w:rsid w:val="00BD581E"/>
    <w:rsid w:val="00BD607D"/>
    <w:rsid w:val="00BD793E"/>
    <w:rsid w:val="00BD7AF3"/>
    <w:rsid w:val="00BD7D83"/>
    <w:rsid w:val="00BE059C"/>
    <w:rsid w:val="00BE05DA"/>
    <w:rsid w:val="00BF2C38"/>
    <w:rsid w:val="00BF3358"/>
    <w:rsid w:val="00BF3680"/>
    <w:rsid w:val="00C020F0"/>
    <w:rsid w:val="00C0549D"/>
    <w:rsid w:val="00C05691"/>
    <w:rsid w:val="00C140E5"/>
    <w:rsid w:val="00C15DE6"/>
    <w:rsid w:val="00C2423E"/>
    <w:rsid w:val="00C26AE3"/>
    <w:rsid w:val="00C349F5"/>
    <w:rsid w:val="00C34D0B"/>
    <w:rsid w:val="00C34E19"/>
    <w:rsid w:val="00C37E05"/>
    <w:rsid w:val="00C400D3"/>
    <w:rsid w:val="00C4033F"/>
    <w:rsid w:val="00C40CA7"/>
    <w:rsid w:val="00C42C55"/>
    <w:rsid w:val="00C46F97"/>
    <w:rsid w:val="00C52C6B"/>
    <w:rsid w:val="00C53018"/>
    <w:rsid w:val="00C539D0"/>
    <w:rsid w:val="00C637F4"/>
    <w:rsid w:val="00C642DF"/>
    <w:rsid w:val="00C644E9"/>
    <w:rsid w:val="00C64D27"/>
    <w:rsid w:val="00C66D70"/>
    <w:rsid w:val="00C67E33"/>
    <w:rsid w:val="00C71338"/>
    <w:rsid w:val="00C72C35"/>
    <w:rsid w:val="00C826C9"/>
    <w:rsid w:val="00C853EB"/>
    <w:rsid w:val="00C85AC6"/>
    <w:rsid w:val="00C85F29"/>
    <w:rsid w:val="00C9054B"/>
    <w:rsid w:val="00C95E09"/>
    <w:rsid w:val="00C96785"/>
    <w:rsid w:val="00CA003F"/>
    <w:rsid w:val="00CA1C01"/>
    <w:rsid w:val="00CA1DA9"/>
    <w:rsid w:val="00CA3D5C"/>
    <w:rsid w:val="00CA5608"/>
    <w:rsid w:val="00CB22E1"/>
    <w:rsid w:val="00CC7130"/>
    <w:rsid w:val="00CC728C"/>
    <w:rsid w:val="00CC786E"/>
    <w:rsid w:val="00CE0381"/>
    <w:rsid w:val="00CE1148"/>
    <w:rsid w:val="00CE171C"/>
    <w:rsid w:val="00CE26A1"/>
    <w:rsid w:val="00CF1766"/>
    <w:rsid w:val="00CF30B8"/>
    <w:rsid w:val="00CF49EA"/>
    <w:rsid w:val="00D051E3"/>
    <w:rsid w:val="00D06DF1"/>
    <w:rsid w:val="00D123EB"/>
    <w:rsid w:val="00D133F4"/>
    <w:rsid w:val="00D15261"/>
    <w:rsid w:val="00D1617D"/>
    <w:rsid w:val="00D17532"/>
    <w:rsid w:val="00D22ADF"/>
    <w:rsid w:val="00D24FE7"/>
    <w:rsid w:val="00D26648"/>
    <w:rsid w:val="00D30B3A"/>
    <w:rsid w:val="00D34F27"/>
    <w:rsid w:val="00D35561"/>
    <w:rsid w:val="00D36C6A"/>
    <w:rsid w:val="00D37354"/>
    <w:rsid w:val="00D37646"/>
    <w:rsid w:val="00D40352"/>
    <w:rsid w:val="00D442D0"/>
    <w:rsid w:val="00D515C5"/>
    <w:rsid w:val="00D52C6A"/>
    <w:rsid w:val="00D5388D"/>
    <w:rsid w:val="00D538B7"/>
    <w:rsid w:val="00D53D7E"/>
    <w:rsid w:val="00D67FE7"/>
    <w:rsid w:val="00D9460A"/>
    <w:rsid w:val="00DA055D"/>
    <w:rsid w:val="00DA1F05"/>
    <w:rsid w:val="00DA5254"/>
    <w:rsid w:val="00DA62C4"/>
    <w:rsid w:val="00DA6935"/>
    <w:rsid w:val="00DB25EB"/>
    <w:rsid w:val="00DB3A6F"/>
    <w:rsid w:val="00DB3FFE"/>
    <w:rsid w:val="00DC21EF"/>
    <w:rsid w:val="00DC54E4"/>
    <w:rsid w:val="00DD07BD"/>
    <w:rsid w:val="00DD3A37"/>
    <w:rsid w:val="00DD591A"/>
    <w:rsid w:val="00DD7639"/>
    <w:rsid w:val="00DE3052"/>
    <w:rsid w:val="00DE4065"/>
    <w:rsid w:val="00DF3C1D"/>
    <w:rsid w:val="00DF5957"/>
    <w:rsid w:val="00DF6E6A"/>
    <w:rsid w:val="00E00124"/>
    <w:rsid w:val="00E02FC8"/>
    <w:rsid w:val="00E0425A"/>
    <w:rsid w:val="00E042DA"/>
    <w:rsid w:val="00E04760"/>
    <w:rsid w:val="00E07A12"/>
    <w:rsid w:val="00E133F5"/>
    <w:rsid w:val="00E148ED"/>
    <w:rsid w:val="00E2340E"/>
    <w:rsid w:val="00E24831"/>
    <w:rsid w:val="00E33BEF"/>
    <w:rsid w:val="00E34E82"/>
    <w:rsid w:val="00E43105"/>
    <w:rsid w:val="00E475F2"/>
    <w:rsid w:val="00E50398"/>
    <w:rsid w:val="00E5134C"/>
    <w:rsid w:val="00E52BE0"/>
    <w:rsid w:val="00E56E6D"/>
    <w:rsid w:val="00E664C0"/>
    <w:rsid w:val="00E72E7A"/>
    <w:rsid w:val="00E7408C"/>
    <w:rsid w:val="00E83F4B"/>
    <w:rsid w:val="00E87A40"/>
    <w:rsid w:val="00E9487F"/>
    <w:rsid w:val="00E9613D"/>
    <w:rsid w:val="00EA0D51"/>
    <w:rsid w:val="00EA0FC1"/>
    <w:rsid w:val="00EA2A68"/>
    <w:rsid w:val="00EA57E8"/>
    <w:rsid w:val="00EB0947"/>
    <w:rsid w:val="00EB2788"/>
    <w:rsid w:val="00EB3705"/>
    <w:rsid w:val="00EC26A2"/>
    <w:rsid w:val="00ED3E8E"/>
    <w:rsid w:val="00EE772D"/>
    <w:rsid w:val="00EF438A"/>
    <w:rsid w:val="00EF7B85"/>
    <w:rsid w:val="00F03B1A"/>
    <w:rsid w:val="00F05024"/>
    <w:rsid w:val="00F05B6B"/>
    <w:rsid w:val="00F05DE6"/>
    <w:rsid w:val="00F11262"/>
    <w:rsid w:val="00F11F1F"/>
    <w:rsid w:val="00F144D4"/>
    <w:rsid w:val="00F14B83"/>
    <w:rsid w:val="00F17139"/>
    <w:rsid w:val="00F217D9"/>
    <w:rsid w:val="00F25011"/>
    <w:rsid w:val="00F26577"/>
    <w:rsid w:val="00F2669D"/>
    <w:rsid w:val="00F271A9"/>
    <w:rsid w:val="00F30333"/>
    <w:rsid w:val="00F3159A"/>
    <w:rsid w:val="00F3420C"/>
    <w:rsid w:val="00F409AD"/>
    <w:rsid w:val="00F40EF6"/>
    <w:rsid w:val="00F4666E"/>
    <w:rsid w:val="00F47494"/>
    <w:rsid w:val="00F474EB"/>
    <w:rsid w:val="00F51557"/>
    <w:rsid w:val="00F52608"/>
    <w:rsid w:val="00F53F4B"/>
    <w:rsid w:val="00F557BF"/>
    <w:rsid w:val="00F558AE"/>
    <w:rsid w:val="00F574C7"/>
    <w:rsid w:val="00F61A2F"/>
    <w:rsid w:val="00F6531B"/>
    <w:rsid w:val="00F6598D"/>
    <w:rsid w:val="00F66059"/>
    <w:rsid w:val="00F66764"/>
    <w:rsid w:val="00F674E3"/>
    <w:rsid w:val="00F74B77"/>
    <w:rsid w:val="00F8111F"/>
    <w:rsid w:val="00F843EA"/>
    <w:rsid w:val="00F85B7C"/>
    <w:rsid w:val="00F870EB"/>
    <w:rsid w:val="00F87A2A"/>
    <w:rsid w:val="00F95539"/>
    <w:rsid w:val="00F957E5"/>
    <w:rsid w:val="00F97851"/>
    <w:rsid w:val="00FA2D55"/>
    <w:rsid w:val="00FA4FDF"/>
    <w:rsid w:val="00FB08A2"/>
    <w:rsid w:val="00FB16FD"/>
    <w:rsid w:val="00FB4E1E"/>
    <w:rsid w:val="00FC1C84"/>
    <w:rsid w:val="00FC27B4"/>
    <w:rsid w:val="00FC4034"/>
    <w:rsid w:val="00FC4BD7"/>
    <w:rsid w:val="00FD14E7"/>
    <w:rsid w:val="00FD427A"/>
    <w:rsid w:val="00FD5AFC"/>
    <w:rsid w:val="00FE0BF7"/>
    <w:rsid w:val="00FE5772"/>
    <w:rsid w:val="00FE70F7"/>
    <w:rsid w:val="00FF7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F5F359D"/>
  <w15:docId w15:val="{09AF6143-029A-45AC-BF4E-194BC73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unhideWhenUsed/>
    <w:qFormat/>
    <w:rsid w:val="006C7603"/>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basedOn w:val="Normal"/>
    <w:link w:val="FooterChar"/>
    <w:uiPriority w:val="99"/>
    <w:unhideWhenUsed/>
    <w:rsid w:val="00EE772D"/>
    <w:pPr>
      <w:tabs>
        <w:tab w:val="center" w:pos="4680"/>
        <w:tab w:val="right" w:pos="9360"/>
      </w:tabs>
    </w:pPr>
  </w:style>
  <w:style w:type="character" w:customStyle="1" w:styleId="FooterChar">
    <w:name w:val="Foote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L"/>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uiPriority w:val="9"/>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qFormat/>
    <w:rsid w:val="00180FD0"/>
    <w:rPr>
      <w:rFonts w:ascii="Calibri" w:eastAsia="Calibri" w:hAnsi="Calibri" w:cs="Times New Roman"/>
      <w:lang w:val="sq-AL"/>
    </w:rPr>
  </w:style>
  <w:style w:type="paragraph" w:styleId="NoSpacing">
    <w:name w:val="No Spacing"/>
    <w:link w:val="NoSpacingChar"/>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C26AE3"/>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C26AE3"/>
    <w:rPr>
      <w:rFonts w:ascii="Calibri" w:eastAsia="Calibri" w:hAnsi="Calibri" w:cs="Arial"/>
      <w:sz w:val="20"/>
      <w:szCs w:val="20"/>
    </w:rPr>
  </w:style>
  <w:style w:type="character" w:styleId="FootnoteReference">
    <w:name w:val="footnote reference"/>
    <w:uiPriority w:val="99"/>
    <w:semiHidden/>
    <w:unhideWhenUsed/>
    <w:rsid w:val="00C26AE3"/>
    <w:rPr>
      <w:vertAlign w:val="superscript"/>
    </w:rPr>
  </w:style>
  <w:style w:type="table" w:styleId="GridTable4-Accent6">
    <w:name w:val="Grid Table 4 Accent 6"/>
    <w:basedOn w:val="TableNormal"/>
    <w:uiPriority w:val="49"/>
    <w:rsid w:val="00E33BEF"/>
    <w:pPr>
      <w:spacing w:after="0" w:line="240" w:lineRule="auto"/>
    </w:pPr>
    <w:rPr>
      <w:lang w:val="sq-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4Char">
    <w:name w:val="Heading 4 Char"/>
    <w:basedOn w:val="DefaultParagraphFont"/>
    <w:link w:val="Heading4"/>
    <w:uiPriority w:val="9"/>
    <w:rsid w:val="006C7603"/>
    <w:rPr>
      <w:rFonts w:asciiTheme="majorHAnsi" w:eastAsiaTheme="majorEastAsia" w:hAnsiTheme="majorHAnsi" w:cstheme="majorBidi"/>
      <w:i/>
      <w:iCs/>
      <w:color w:val="365F91" w:themeColor="accent1" w:themeShade="BF"/>
      <w:lang w:val="sq-AL"/>
    </w:rPr>
  </w:style>
  <w:style w:type="table" w:styleId="TableGrid">
    <w:name w:val="Table Grid"/>
    <w:basedOn w:val="TableNormal"/>
    <w:uiPriority w:val="39"/>
    <w:rsid w:val="00B23928"/>
    <w:pPr>
      <w:spacing w:after="22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708F"/>
    <w:rPr>
      <w:i/>
      <w:iCs/>
    </w:rPr>
  </w:style>
  <w:style w:type="table" w:styleId="PlainTable1">
    <w:name w:val="Plain Table 1"/>
    <w:basedOn w:val="TableNormal"/>
    <w:uiPriority w:val="41"/>
    <w:rsid w:val="007D177F"/>
    <w:pPr>
      <w:spacing w:after="0" w:line="240" w:lineRule="auto"/>
    </w:pPr>
    <w:rPr>
      <w:lang w:val="sq-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8B70D5"/>
    <w:pPr>
      <w:widowControl w:val="0"/>
      <w:autoSpaceDE w:val="0"/>
      <w:autoSpaceDN w:val="0"/>
    </w:pPr>
    <w:rPr>
      <w:sz w:val="22"/>
      <w:szCs w:val="22"/>
      <w:lang w:val="en-US" w:eastAsia="en-US"/>
    </w:rPr>
  </w:style>
  <w:style w:type="character" w:customStyle="1" w:styleId="NoSpacingChar">
    <w:name w:val="No Spacing Char"/>
    <w:basedOn w:val="DefaultParagraphFont"/>
    <w:link w:val="NoSpacing"/>
    <w:uiPriority w:val="1"/>
    <w:rsid w:val="004A1A46"/>
    <w:rPr>
      <w:rFonts w:ascii="Calibri" w:eastAsia="Times New Roman" w:hAnsi="Calibri" w:cs="Times New Roman"/>
      <w:lang w:val="it-IT"/>
    </w:rPr>
  </w:style>
  <w:style w:type="character" w:customStyle="1" w:styleId="xcontentpasted1">
    <w:name w:val="x_contentpasted1"/>
    <w:basedOn w:val="DefaultParagraphFont"/>
    <w:rsid w:val="00B60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5161">
      <w:bodyDiv w:val="1"/>
      <w:marLeft w:val="0"/>
      <w:marRight w:val="0"/>
      <w:marTop w:val="0"/>
      <w:marBottom w:val="0"/>
      <w:divBdr>
        <w:top w:val="none" w:sz="0" w:space="0" w:color="auto"/>
        <w:left w:val="none" w:sz="0" w:space="0" w:color="auto"/>
        <w:bottom w:val="none" w:sz="0" w:space="0" w:color="auto"/>
        <w:right w:val="none" w:sz="0" w:space="0" w:color="auto"/>
      </w:divBdr>
    </w:div>
    <w:div w:id="68815593">
      <w:bodyDiv w:val="1"/>
      <w:marLeft w:val="0"/>
      <w:marRight w:val="0"/>
      <w:marTop w:val="0"/>
      <w:marBottom w:val="0"/>
      <w:divBdr>
        <w:top w:val="none" w:sz="0" w:space="0" w:color="auto"/>
        <w:left w:val="none" w:sz="0" w:space="0" w:color="auto"/>
        <w:bottom w:val="none" w:sz="0" w:space="0" w:color="auto"/>
        <w:right w:val="none" w:sz="0" w:space="0" w:color="auto"/>
      </w:divBdr>
    </w:div>
    <w:div w:id="76757916">
      <w:bodyDiv w:val="1"/>
      <w:marLeft w:val="0"/>
      <w:marRight w:val="0"/>
      <w:marTop w:val="0"/>
      <w:marBottom w:val="0"/>
      <w:divBdr>
        <w:top w:val="none" w:sz="0" w:space="0" w:color="auto"/>
        <w:left w:val="none" w:sz="0" w:space="0" w:color="auto"/>
        <w:bottom w:val="none" w:sz="0" w:space="0" w:color="auto"/>
        <w:right w:val="none" w:sz="0" w:space="0" w:color="auto"/>
      </w:divBdr>
    </w:div>
    <w:div w:id="131824852">
      <w:bodyDiv w:val="1"/>
      <w:marLeft w:val="0"/>
      <w:marRight w:val="0"/>
      <w:marTop w:val="0"/>
      <w:marBottom w:val="0"/>
      <w:divBdr>
        <w:top w:val="none" w:sz="0" w:space="0" w:color="auto"/>
        <w:left w:val="none" w:sz="0" w:space="0" w:color="auto"/>
        <w:bottom w:val="none" w:sz="0" w:space="0" w:color="auto"/>
        <w:right w:val="none" w:sz="0" w:space="0" w:color="auto"/>
      </w:divBdr>
    </w:div>
    <w:div w:id="198126428">
      <w:bodyDiv w:val="1"/>
      <w:marLeft w:val="0"/>
      <w:marRight w:val="0"/>
      <w:marTop w:val="0"/>
      <w:marBottom w:val="0"/>
      <w:divBdr>
        <w:top w:val="none" w:sz="0" w:space="0" w:color="auto"/>
        <w:left w:val="none" w:sz="0" w:space="0" w:color="auto"/>
        <w:bottom w:val="none" w:sz="0" w:space="0" w:color="auto"/>
        <w:right w:val="none" w:sz="0" w:space="0" w:color="auto"/>
      </w:divBdr>
    </w:div>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357586404">
      <w:bodyDiv w:val="1"/>
      <w:marLeft w:val="0"/>
      <w:marRight w:val="0"/>
      <w:marTop w:val="0"/>
      <w:marBottom w:val="0"/>
      <w:divBdr>
        <w:top w:val="none" w:sz="0" w:space="0" w:color="auto"/>
        <w:left w:val="none" w:sz="0" w:space="0" w:color="auto"/>
        <w:bottom w:val="none" w:sz="0" w:space="0" w:color="auto"/>
        <w:right w:val="none" w:sz="0" w:space="0" w:color="auto"/>
      </w:divBdr>
    </w:div>
    <w:div w:id="433283328">
      <w:bodyDiv w:val="1"/>
      <w:marLeft w:val="0"/>
      <w:marRight w:val="0"/>
      <w:marTop w:val="0"/>
      <w:marBottom w:val="0"/>
      <w:divBdr>
        <w:top w:val="none" w:sz="0" w:space="0" w:color="auto"/>
        <w:left w:val="none" w:sz="0" w:space="0" w:color="auto"/>
        <w:bottom w:val="none" w:sz="0" w:space="0" w:color="auto"/>
        <w:right w:val="none" w:sz="0" w:space="0" w:color="auto"/>
      </w:divBdr>
    </w:div>
    <w:div w:id="544374387">
      <w:bodyDiv w:val="1"/>
      <w:marLeft w:val="0"/>
      <w:marRight w:val="0"/>
      <w:marTop w:val="0"/>
      <w:marBottom w:val="0"/>
      <w:divBdr>
        <w:top w:val="none" w:sz="0" w:space="0" w:color="auto"/>
        <w:left w:val="none" w:sz="0" w:space="0" w:color="auto"/>
        <w:bottom w:val="none" w:sz="0" w:space="0" w:color="auto"/>
        <w:right w:val="none" w:sz="0" w:space="0" w:color="auto"/>
      </w:divBdr>
    </w:div>
    <w:div w:id="572551208">
      <w:bodyDiv w:val="1"/>
      <w:marLeft w:val="0"/>
      <w:marRight w:val="0"/>
      <w:marTop w:val="0"/>
      <w:marBottom w:val="0"/>
      <w:divBdr>
        <w:top w:val="none" w:sz="0" w:space="0" w:color="auto"/>
        <w:left w:val="none" w:sz="0" w:space="0" w:color="auto"/>
        <w:bottom w:val="none" w:sz="0" w:space="0" w:color="auto"/>
        <w:right w:val="none" w:sz="0" w:space="0" w:color="auto"/>
      </w:divBdr>
    </w:div>
    <w:div w:id="660473924">
      <w:bodyDiv w:val="1"/>
      <w:marLeft w:val="0"/>
      <w:marRight w:val="0"/>
      <w:marTop w:val="0"/>
      <w:marBottom w:val="0"/>
      <w:divBdr>
        <w:top w:val="none" w:sz="0" w:space="0" w:color="auto"/>
        <w:left w:val="none" w:sz="0" w:space="0" w:color="auto"/>
        <w:bottom w:val="none" w:sz="0" w:space="0" w:color="auto"/>
        <w:right w:val="none" w:sz="0" w:space="0" w:color="auto"/>
      </w:divBdr>
    </w:div>
    <w:div w:id="788864049">
      <w:bodyDiv w:val="1"/>
      <w:marLeft w:val="0"/>
      <w:marRight w:val="0"/>
      <w:marTop w:val="0"/>
      <w:marBottom w:val="0"/>
      <w:divBdr>
        <w:top w:val="none" w:sz="0" w:space="0" w:color="auto"/>
        <w:left w:val="none" w:sz="0" w:space="0" w:color="auto"/>
        <w:bottom w:val="none" w:sz="0" w:space="0" w:color="auto"/>
        <w:right w:val="none" w:sz="0" w:space="0" w:color="auto"/>
      </w:divBdr>
    </w:div>
    <w:div w:id="826094954">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 w:id="984547418">
      <w:bodyDiv w:val="1"/>
      <w:marLeft w:val="0"/>
      <w:marRight w:val="0"/>
      <w:marTop w:val="0"/>
      <w:marBottom w:val="0"/>
      <w:divBdr>
        <w:top w:val="none" w:sz="0" w:space="0" w:color="auto"/>
        <w:left w:val="none" w:sz="0" w:space="0" w:color="auto"/>
        <w:bottom w:val="none" w:sz="0" w:space="0" w:color="auto"/>
        <w:right w:val="none" w:sz="0" w:space="0" w:color="auto"/>
      </w:divBdr>
    </w:div>
    <w:div w:id="1057969312">
      <w:bodyDiv w:val="1"/>
      <w:marLeft w:val="0"/>
      <w:marRight w:val="0"/>
      <w:marTop w:val="0"/>
      <w:marBottom w:val="0"/>
      <w:divBdr>
        <w:top w:val="none" w:sz="0" w:space="0" w:color="auto"/>
        <w:left w:val="none" w:sz="0" w:space="0" w:color="auto"/>
        <w:bottom w:val="none" w:sz="0" w:space="0" w:color="auto"/>
        <w:right w:val="none" w:sz="0" w:space="0" w:color="auto"/>
      </w:divBdr>
    </w:div>
    <w:div w:id="1353216456">
      <w:bodyDiv w:val="1"/>
      <w:marLeft w:val="0"/>
      <w:marRight w:val="0"/>
      <w:marTop w:val="0"/>
      <w:marBottom w:val="0"/>
      <w:divBdr>
        <w:top w:val="none" w:sz="0" w:space="0" w:color="auto"/>
        <w:left w:val="none" w:sz="0" w:space="0" w:color="auto"/>
        <w:bottom w:val="none" w:sz="0" w:space="0" w:color="auto"/>
        <w:right w:val="none" w:sz="0" w:space="0" w:color="auto"/>
      </w:divBdr>
    </w:div>
    <w:div w:id="1424644291">
      <w:bodyDiv w:val="1"/>
      <w:marLeft w:val="0"/>
      <w:marRight w:val="0"/>
      <w:marTop w:val="0"/>
      <w:marBottom w:val="0"/>
      <w:divBdr>
        <w:top w:val="none" w:sz="0" w:space="0" w:color="auto"/>
        <w:left w:val="none" w:sz="0" w:space="0" w:color="auto"/>
        <w:bottom w:val="none" w:sz="0" w:space="0" w:color="auto"/>
        <w:right w:val="none" w:sz="0" w:space="0" w:color="auto"/>
      </w:divBdr>
    </w:div>
    <w:div w:id="1434201299">
      <w:bodyDiv w:val="1"/>
      <w:marLeft w:val="0"/>
      <w:marRight w:val="0"/>
      <w:marTop w:val="0"/>
      <w:marBottom w:val="0"/>
      <w:divBdr>
        <w:top w:val="none" w:sz="0" w:space="0" w:color="auto"/>
        <w:left w:val="none" w:sz="0" w:space="0" w:color="auto"/>
        <w:bottom w:val="none" w:sz="0" w:space="0" w:color="auto"/>
        <w:right w:val="none" w:sz="0" w:space="0" w:color="auto"/>
      </w:divBdr>
    </w:div>
    <w:div w:id="1470173503">
      <w:bodyDiv w:val="1"/>
      <w:marLeft w:val="0"/>
      <w:marRight w:val="0"/>
      <w:marTop w:val="0"/>
      <w:marBottom w:val="0"/>
      <w:divBdr>
        <w:top w:val="none" w:sz="0" w:space="0" w:color="auto"/>
        <w:left w:val="none" w:sz="0" w:space="0" w:color="auto"/>
        <w:bottom w:val="none" w:sz="0" w:space="0" w:color="auto"/>
        <w:right w:val="none" w:sz="0" w:space="0" w:color="auto"/>
      </w:divBdr>
    </w:div>
    <w:div w:id="1503397967">
      <w:bodyDiv w:val="1"/>
      <w:marLeft w:val="0"/>
      <w:marRight w:val="0"/>
      <w:marTop w:val="0"/>
      <w:marBottom w:val="0"/>
      <w:divBdr>
        <w:top w:val="none" w:sz="0" w:space="0" w:color="auto"/>
        <w:left w:val="none" w:sz="0" w:space="0" w:color="auto"/>
        <w:bottom w:val="none" w:sz="0" w:space="0" w:color="auto"/>
        <w:right w:val="none" w:sz="0" w:space="0" w:color="auto"/>
      </w:divBdr>
    </w:div>
    <w:div w:id="1560434659">
      <w:bodyDiv w:val="1"/>
      <w:marLeft w:val="0"/>
      <w:marRight w:val="0"/>
      <w:marTop w:val="0"/>
      <w:marBottom w:val="0"/>
      <w:divBdr>
        <w:top w:val="none" w:sz="0" w:space="0" w:color="auto"/>
        <w:left w:val="none" w:sz="0" w:space="0" w:color="auto"/>
        <w:bottom w:val="none" w:sz="0" w:space="0" w:color="auto"/>
        <w:right w:val="none" w:sz="0" w:space="0" w:color="auto"/>
      </w:divBdr>
    </w:div>
    <w:div w:id="1631978467">
      <w:bodyDiv w:val="1"/>
      <w:marLeft w:val="0"/>
      <w:marRight w:val="0"/>
      <w:marTop w:val="0"/>
      <w:marBottom w:val="0"/>
      <w:divBdr>
        <w:top w:val="none" w:sz="0" w:space="0" w:color="auto"/>
        <w:left w:val="none" w:sz="0" w:space="0" w:color="auto"/>
        <w:bottom w:val="none" w:sz="0" w:space="0" w:color="auto"/>
        <w:right w:val="none" w:sz="0" w:space="0" w:color="auto"/>
      </w:divBdr>
    </w:div>
    <w:div w:id="1652559545">
      <w:bodyDiv w:val="1"/>
      <w:marLeft w:val="0"/>
      <w:marRight w:val="0"/>
      <w:marTop w:val="0"/>
      <w:marBottom w:val="0"/>
      <w:divBdr>
        <w:top w:val="none" w:sz="0" w:space="0" w:color="auto"/>
        <w:left w:val="none" w:sz="0" w:space="0" w:color="auto"/>
        <w:bottom w:val="none" w:sz="0" w:space="0" w:color="auto"/>
        <w:right w:val="none" w:sz="0" w:space="0" w:color="auto"/>
      </w:divBdr>
    </w:div>
    <w:div w:id="1696035087">
      <w:bodyDiv w:val="1"/>
      <w:marLeft w:val="0"/>
      <w:marRight w:val="0"/>
      <w:marTop w:val="0"/>
      <w:marBottom w:val="0"/>
      <w:divBdr>
        <w:top w:val="none" w:sz="0" w:space="0" w:color="auto"/>
        <w:left w:val="none" w:sz="0" w:space="0" w:color="auto"/>
        <w:bottom w:val="none" w:sz="0" w:space="0" w:color="auto"/>
        <w:right w:val="none" w:sz="0" w:space="0" w:color="auto"/>
      </w:divBdr>
    </w:div>
    <w:div w:id="1759446991">
      <w:bodyDiv w:val="1"/>
      <w:marLeft w:val="0"/>
      <w:marRight w:val="0"/>
      <w:marTop w:val="0"/>
      <w:marBottom w:val="0"/>
      <w:divBdr>
        <w:top w:val="none" w:sz="0" w:space="0" w:color="auto"/>
        <w:left w:val="none" w:sz="0" w:space="0" w:color="auto"/>
        <w:bottom w:val="none" w:sz="0" w:space="0" w:color="auto"/>
        <w:right w:val="none" w:sz="0" w:space="0" w:color="auto"/>
      </w:divBdr>
    </w:div>
    <w:div w:id="1952320289">
      <w:bodyDiv w:val="1"/>
      <w:marLeft w:val="0"/>
      <w:marRight w:val="0"/>
      <w:marTop w:val="0"/>
      <w:marBottom w:val="0"/>
      <w:divBdr>
        <w:top w:val="none" w:sz="0" w:space="0" w:color="auto"/>
        <w:left w:val="none" w:sz="0" w:space="0" w:color="auto"/>
        <w:bottom w:val="none" w:sz="0" w:space="0" w:color="auto"/>
        <w:right w:val="none" w:sz="0" w:space="0" w:color="auto"/>
      </w:divBdr>
    </w:div>
    <w:div w:id="2000772089">
      <w:bodyDiv w:val="1"/>
      <w:marLeft w:val="0"/>
      <w:marRight w:val="0"/>
      <w:marTop w:val="0"/>
      <w:marBottom w:val="0"/>
      <w:divBdr>
        <w:top w:val="none" w:sz="0" w:space="0" w:color="auto"/>
        <w:left w:val="none" w:sz="0" w:space="0" w:color="auto"/>
        <w:bottom w:val="none" w:sz="0" w:space="0" w:color="auto"/>
        <w:right w:val="none" w:sz="0" w:space="0" w:color="auto"/>
      </w:divBdr>
    </w:div>
    <w:div w:id="2001275168">
      <w:bodyDiv w:val="1"/>
      <w:marLeft w:val="0"/>
      <w:marRight w:val="0"/>
      <w:marTop w:val="0"/>
      <w:marBottom w:val="0"/>
      <w:divBdr>
        <w:top w:val="none" w:sz="0" w:space="0" w:color="auto"/>
        <w:left w:val="none" w:sz="0" w:space="0" w:color="auto"/>
        <w:bottom w:val="none" w:sz="0" w:space="0" w:color="auto"/>
        <w:right w:val="none" w:sz="0" w:space="0" w:color="auto"/>
      </w:divBdr>
    </w:div>
    <w:div w:id="20983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dp.a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dp.a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dp.a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14B01-AC14-4617-8618-18412A31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16</Pages>
  <Words>5563</Words>
  <Characters>31715</Characters>
  <Application>Microsoft Office Word</Application>
  <DocSecurity>0</DocSecurity>
  <Lines>264</Lines>
  <Paragraphs>74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2023-01-26T13:50:00Z</cp:lastPrinted>
  <dcterms:created xsi:type="dcterms:W3CDTF">2023-09-27T09:07:00Z</dcterms:created>
  <dcterms:modified xsi:type="dcterms:W3CDTF">2023-09-29T09:31:00Z</dcterms:modified>
</cp:coreProperties>
</file>