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96" w:rsidRDefault="00C91396">
      <w:pPr>
        <w:rPr>
          <w:rFonts w:ascii="Verdana" w:eastAsia="Verdana" w:hAnsi="Verdana"/>
          <w:color w:val="000000"/>
          <w:sz w:val="40"/>
        </w:rPr>
      </w:pPr>
      <w:proofErr w:type="spellStart"/>
      <w:r>
        <w:rPr>
          <w:rFonts w:ascii="Verdana" w:eastAsia="Verdana" w:hAnsi="Verdana"/>
          <w:color w:val="000000"/>
          <w:sz w:val="40"/>
        </w:rPr>
        <w:t>Regjistri</w:t>
      </w:r>
      <w:proofErr w:type="spellEnd"/>
      <w:r>
        <w:rPr>
          <w:rFonts w:ascii="Verdana" w:eastAsia="Verdana" w:hAnsi="Verdana"/>
          <w:color w:val="000000"/>
          <w:sz w:val="40"/>
        </w:rPr>
        <w:t xml:space="preserve"> </w:t>
      </w:r>
      <w:proofErr w:type="spellStart"/>
      <w:r>
        <w:rPr>
          <w:rFonts w:ascii="Verdana" w:eastAsia="Verdana" w:hAnsi="Verdana"/>
          <w:color w:val="000000"/>
          <w:sz w:val="40"/>
        </w:rPr>
        <w:t>i</w:t>
      </w:r>
      <w:proofErr w:type="spellEnd"/>
      <w:r>
        <w:rPr>
          <w:rFonts w:ascii="Verdana" w:eastAsia="Verdana" w:hAnsi="Verdana"/>
          <w:color w:val="000000"/>
          <w:sz w:val="40"/>
        </w:rPr>
        <w:t xml:space="preserve"> </w:t>
      </w:r>
      <w:proofErr w:type="spellStart"/>
      <w:r>
        <w:rPr>
          <w:rFonts w:ascii="Verdana" w:eastAsia="Verdana" w:hAnsi="Verdana"/>
          <w:color w:val="000000"/>
          <w:sz w:val="40"/>
        </w:rPr>
        <w:t>parashikimeve</w:t>
      </w:r>
      <w:proofErr w:type="spellEnd"/>
      <w:r>
        <w:rPr>
          <w:rFonts w:ascii="Verdana" w:eastAsia="Verdana" w:hAnsi="Verdana"/>
          <w:color w:val="000000"/>
          <w:sz w:val="40"/>
        </w:rPr>
        <w:t xml:space="preserve"> të </w:t>
      </w:r>
      <w:proofErr w:type="spellStart"/>
      <w:r>
        <w:rPr>
          <w:rFonts w:ascii="Verdana" w:eastAsia="Verdana" w:hAnsi="Verdana"/>
          <w:color w:val="000000"/>
          <w:sz w:val="40"/>
        </w:rPr>
        <w:t>prokurimit</w:t>
      </w:r>
      <w:proofErr w:type="spellEnd"/>
      <w:r>
        <w:rPr>
          <w:rFonts w:ascii="Verdana" w:eastAsia="Verdana" w:hAnsi="Verdana"/>
          <w:color w:val="000000"/>
          <w:sz w:val="40"/>
        </w:rPr>
        <w:t xml:space="preserve"> </w:t>
      </w:r>
      <w:r w:rsidR="003C3E0F">
        <w:rPr>
          <w:rFonts w:ascii="Verdana" w:eastAsia="Verdana" w:hAnsi="Verdana"/>
          <w:color w:val="000000"/>
          <w:sz w:val="40"/>
        </w:rPr>
        <w:t>publik</w:t>
      </w:r>
      <w:bookmarkStart w:id="0" w:name="_GoBack"/>
      <w:bookmarkEnd w:id="0"/>
    </w:p>
    <w:p w:rsidR="00C91396" w:rsidRDefault="00C91396">
      <w:r>
        <w:tab/>
        <w:t xml:space="preserve">Per </w:t>
      </w:r>
      <w:proofErr w:type="spellStart"/>
      <w:r>
        <w:t>vitin</w:t>
      </w:r>
      <w:proofErr w:type="spellEnd"/>
      <w:r>
        <w:t>: 2019</w:t>
      </w:r>
    </w:p>
    <w:p w:rsidR="00C91396" w:rsidRDefault="00C91396" w:rsidP="0043689D">
      <w:pPr>
        <w:spacing w:after="0"/>
      </w:pPr>
      <w:r>
        <w:tab/>
      </w:r>
      <w:proofErr w:type="spellStart"/>
      <w:r>
        <w:t>Autoriteti</w:t>
      </w:r>
      <w:proofErr w:type="spellEnd"/>
      <w:r>
        <w:t xml:space="preserve"> Kontraktor: </w:t>
      </w:r>
      <w:r>
        <w:rPr>
          <w:rFonts w:ascii="Arial" w:eastAsia="Arial" w:hAnsi="Arial"/>
          <w:color w:val="000000"/>
          <w:u w:val="single"/>
        </w:rPr>
        <w:t xml:space="preserve">Komisioneri per </w:t>
      </w:r>
      <w:proofErr w:type="spellStart"/>
      <w:proofErr w:type="gramStart"/>
      <w:r>
        <w:rPr>
          <w:rFonts w:ascii="Arial" w:eastAsia="Arial" w:hAnsi="Arial"/>
          <w:color w:val="000000"/>
          <w:u w:val="single"/>
        </w:rPr>
        <w:t>te</w:t>
      </w:r>
      <w:proofErr w:type="spellEnd"/>
      <w:proofErr w:type="gramEnd"/>
      <w:r>
        <w:rPr>
          <w:rFonts w:ascii="Arial" w:eastAsia="Arial" w:hAnsi="Arial"/>
          <w:color w:val="000000"/>
          <w:u w:val="single"/>
        </w:rPr>
        <w:t xml:space="preserve"> </w:t>
      </w:r>
      <w:proofErr w:type="spellStart"/>
      <w:r>
        <w:rPr>
          <w:rFonts w:ascii="Arial" w:eastAsia="Arial" w:hAnsi="Arial"/>
          <w:color w:val="000000"/>
          <w:u w:val="single"/>
        </w:rPr>
        <w:t>Drejten</w:t>
      </w:r>
      <w:proofErr w:type="spellEnd"/>
      <w:r>
        <w:rPr>
          <w:rFonts w:ascii="Arial" w:eastAsia="Arial" w:hAnsi="Arial"/>
          <w:color w:val="000000"/>
          <w:u w:val="single"/>
        </w:rPr>
        <w:t xml:space="preserve"> e Informimit dhe Mbrojtjen e </w:t>
      </w:r>
      <w:proofErr w:type="spellStart"/>
      <w:r>
        <w:rPr>
          <w:rFonts w:ascii="Arial" w:eastAsia="Arial" w:hAnsi="Arial"/>
          <w:color w:val="000000"/>
          <w:u w:val="single"/>
        </w:rPr>
        <w:t>te</w:t>
      </w:r>
      <w:proofErr w:type="spellEnd"/>
      <w:r>
        <w:rPr>
          <w:rFonts w:ascii="Arial" w:eastAsia="Arial" w:hAnsi="Arial"/>
          <w:color w:val="000000"/>
          <w:u w:val="single"/>
        </w:rPr>
        <w:t xml:space="preserve"> </w:t>
      </w:r>
      <w:proofErr w:type="spellStart"/>
      <w:r>
        <w:rPr>
          <w:rFonts w:ascii="Arial" w:eastAsia="Arial" w:hAnsi="Arial"/>
          <w:color w:val="000000"/>
          <w:u w:val="single"/>
        </w:rPr>
        <w:t>dhenave</w:t>
      </w:r>
      <w:proofErr w:type="spellEnd"/>
      <w:r>
        <w:rPr>
          <w:rFonts w:ascii="Arial" w:eastAsia="Arial" w:hAnsi="Arial"/>
          <w:color w:val="000000"/>
          <w:u w:val="single"/>
        </w:rPr>
        <w:t xml:space="preserve"> </w:t>
      </w:r>
      <w:proofErr w:type="spellStart"/>
      <w:r>
        <w:rPr>
          <w:rFonts w:ascii="Arial" w:eastAsia="Arial" w:hAnsi="Arial"/>
          <w:color w:val="000000"/>
          <w:u w:val="single"/>
        </w:rPr>
        <w:t>personale</w:t>
      </w:r>
      <w:proofErr w:type="spellEnd"/>
    </w:p>
    <w:p w:rsidR="00C91396" w:rsidRDefault="00C91396"/>
    <w:tbl>
      <w:tblPr>
        <w:tblW w:w="260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4298"/>
        <w:gridCol w:w="3969"/>
        <w:gridCol w:w="1559"/>
        <w:gridCol w:w="1276"/>
        <w:gridCol w:w="1276"/>
        <w:gridCol w:w="3118"/>
        <w:gridCol w:w="1276"/>
        <w:gridCol w:w="1843"/>
        <w:gridCol w:w="1417"/>
        <w:gridCol w:w="1746"/>
        <w:gridCol w:w="1746"/>
        <w:gridCol w:w="1746"/>
      </w:tblGrid>
      <w:tr w:rsidR="00842E14" w:rsidTr="0043689D">
        <w:trPr>
          <w:trHeight w:val="28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t>Nr.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Objekti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Prokurimit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Kodet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CVP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Lloji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prokurimit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t>Tipi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t xml:space="preserve">Tipi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kontratës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Lloji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regjistrit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prokurimit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Fondi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përllogaritur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Burimi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Financimit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Vlera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Lloji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procedurës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së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prokurimit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495ED"/>
          </w:tcPr>
          <w:p w:rsidR="00842E14" w:rsidRPr="00D27E3E" w:rsidRDefault="00842E14" w:rsidP="00C91396">
            <w:proofErr w:type="spellStart"/>
            <w:r w:rsidRPr="00C91396">
              <w:rPr>
                <w:color w:val="FFFFFF" w:themeColor="background1"/>
              </w:rPr>
              <w:t>Koha</w:t>
            </w:r>
            <w:proofErr w:type="spellEnd"/>
            <w:r w:rsidRPr="00C91396">
              <w:rPr>
                <w:color w:val="FFFFFF" w:themeColor="background1"/>
              </w:rPr>
              <w:t xml:space="preserve"> e </w:t>
            </w:r>
            <w:proofErr w:type="spellStart"/>
            <w:r w:rsidRPr="00C91396">
              <w:rPr>
                <w:color w:val="FFFFFF" w:themeColor="background1"/>
              </w:rPr>
              <w:t>planifikuar</w:t>
            </w:r>
            <w:proofErr w:type="spellEnd"/>
            <w:r w:rsidRPr="00C91396">
              <w:rPr>
                <w:color w:val="FFFFFF" w:themeColor="background1"/>
              </w:rPr>
              <w:t xml:space="preserve"> për </w:t>
            </w:r>
            <w:proofErr w:type="spellStart"/>
            <w:r w:rsidRPr="00C91396">
              <w:rPr>
                <w:color w:val="FFFFFF" w:themeColor="background1"/>
              </w:rPr>
              <w:t>zhvillimin</w:t>
            </w:r>
            <w:proofErr w:type="spellEnd"/>
            <w:r w:rsidRPr="00C91396">
              <w:rPr>
                <w:color w:val="FFFFFF" w:themeColor="background1"/>
              </w:rPr>
              <w:t xml:space="preserve"> e </w:t>
            </w:r>
            <w:proofErr w:type="spellStart"/>
            <w:r w:rsidRPr="00C91396">
              <w:rPr>
                <w:color w:val="FFFFFF" w:themeColor="background1"/>
              </w:rPr>
              <w:t>procedurës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4" w:space="0" w:color="auto"/>
            </w:tcBorders>
            <w:shd w:val="clear" w:color="auto" w:fill="6495ED"/>
          </w:tcPr>
          <w:p w:rsidR="00842E14" w:rsidRDefault="00842E14" w:rsidP="00C9139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t xml:space="preserve">I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modifikuar</w:t>
            </w:r>
            <w:proofErr w:type="spellEnd"/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kanceleri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Dosje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Stilolapsa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Mbajtëse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stilolapsi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Letër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fotokopjuese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karburanti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Karburante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700000.00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700000.00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mobilje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zyre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administrative </w:t>
            </w:r>
            <w:proofErr w:type="spellStart"/>
            <w:r>
              <w:rPr>
                <w:rFonts w:ascii="Arial" w:eastAsia="Arial" w:hAnsi="Arial"/>
                <w:color w:val="000000"/>
              </w:rPr>
              <w:t>sociale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4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Furnizime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pergjithshme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Furnizime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zyrës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5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kolaudim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punimesh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administrative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ndërtesat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objektet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menaxherialë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90000.00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90000.00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6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hartim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projekti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rikonstruksion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Projekte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410000.00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410000.00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7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siguracion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automjeteve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tpl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siguracion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detyrueshem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automjetet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8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hidraulike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hidraulike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9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sistem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rregjistrimi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audio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audio-</w:t>
            </w:r>
            <w:proofErr w:type="spellStart"/>
            <w:r>
              <w:rPr>
                <w:rFonts w:ascii="Arial" w:eastAsia="Arial" w:hAnsi="Arial"/>
                <w:color w:val="000000"/>
              </w:rPr>
              <w:t>vizuale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optike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audio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10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zyre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Mobilje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Mobilje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zyra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Mobilje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ndryshme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2500000.00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2500000.00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Request for Proposals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11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riaprim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kompjuterike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kompjuterike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teknologjisë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informacionit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makinerisë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fotokopjuese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500000.00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500000.00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12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tonera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Toner per printer </w:t>
            </w:r>
            <w:proofErr w:type="spellStart"/>
            <w:r>
              <w:rPr>
                <w:rFonts w:ascii="Arial" w:eastAsia="Arial" w:hAnsi="Arial"/>
                <w:color w:val="000000"/>
              </w:rPr>
              <w:t>lazer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/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fax , Toner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fotokopjuese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13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abonim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shtypi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abonimi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14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rikonstruksion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godine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Punime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ndërtimi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ndërtesa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multifunksionale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Punë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7500000.00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7500000.00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Request for Proposals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Po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15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larje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makinash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larje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makinash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ngjashme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16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automjetesh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makinash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makinash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pjesë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specifike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automjetesh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frena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pjesë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frenash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kuti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marshesh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17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zjarrefikese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zjarrfikëse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18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Botime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printimi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19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elektrike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elektrike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20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sistem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kondicionimi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ngrohjes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qendrore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21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mbikqyrje</w:t>
            </w:r>
            <w:proofErr w:type="spellEnd"/>
            <w:r>
              <w:rPr>
                <w:rFonts w:ascii="Arial" w:eastAsia="Arial" w:hAnsi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/>
                <w:color w:val="000000"/>
              </w:rPr>
              <w:t>supervizim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punime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ndertimi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Mbikëqyrja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punës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ndërtimit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330000.00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330000.00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22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sisteme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sigurimi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kamera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sigurisë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23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,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gjeneratori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gjeneratorëve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24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larje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fasade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Pastrim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pjesëve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jashtëme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ndërtesave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25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speciale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zyren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ndryshme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26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dekor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Dekorime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27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shpenzime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bileta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ajrore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Bileta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transporti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Sistem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Dinamik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3500000.00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3500000.00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Purchase Tickets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28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pajsije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kompjuterike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elektronike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Kompjutera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personale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Njësitë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qendrore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përpunimit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kompjutera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personalë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që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lidhen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me </w:t>
            </w:r>
            <w:proofErr w:type="spellStart"/>
            <w:r>
              <w:rPr>
                <w:rFonts w:ascii="Arial" w:eastAsia="Arial" w:hAnsi="Arial"/>
                <w:color w:val="000000"/>
              </w:rPr>
              <w:t>kompjuterat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Pjesë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furnizime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kompjutera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Pjesë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kompjuterash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2500000.00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2500000.00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Request for Proposals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29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akses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kontrolli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ne </w:t>
            </w:r>
            <w:proofErr w:type="spellStart"/>
            <w:r>
              <w:rPr>
                <w:rFonts w:ascii="Arial" w:eastAsia="Arial" w:hAnsi="Arial"/>
                <w:color w:val="000000"/>
              </w:rPr>
              <w:t>institucion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sistemit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30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pritje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percjellje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pritjeje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31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gjelberimi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arkitekture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lulishtesh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32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pastrimi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Higjenizues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duart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Detergjentë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Detergjentë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enë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200000.00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33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softialpha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web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asistencës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software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34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literature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zyren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Libra </w:t>
            </w:r>
            <w:proofErr w:type="spellStart"/>
            <w:r>
              <w:rPr>
                <w:rFonts w:ascii="Arial" w:eastAsia="Arial" w:hAnsi="Arial"/>
                <w:color w:val="000000"/>
              </w:rPr>
              <w:t>biblioteke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35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konsulence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konference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konsulencës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menaxhim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përgjithshëm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36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pastrim</w:t>
            </w:r>
            <w:proofErr w:type="spellEnd"/>
            <w:r>
              <w:rPr>
                <w:rFonts w:ascii="Arial" w:eastAsia="Arial" w:hAnsi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depo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uji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dezinfektim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dezinfektimi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asgjësimi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single" w:sz="7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37</w:t>
            </w:r>
          </w:p>
        </w:tc>
        <w:tc>
          <w:tcPr>
            <w:tcW w:w="429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central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brendshem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telefonik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linjave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telefonike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telegrafike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3118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>
            <w:proofErr w:type="spellStart"/>
            <w:r w:rsidRPr="00D27E3E">
              <w:t>Dhjetor</w:t>
            </w:r>
            <w:proofErr w:type="spellEnd"/>
          </w:p>
        </w:tc>
        <w:tc>
          <w:tcPr>
            <w:tcW w:w="1746" w:type="dxa"/>
            <w:tcBorders>
              <w:top w:val="single" w:sz="7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  <w:tr w:rsidR="00842E14" w:rsidTr="0043689D">
        <w:trPr>
          <w:trHeight w:val="282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E14" w:rsidRDefault="00842E14" w:rsidP="00C91396">
            <w:pPr>
              <w:spacing w:after="0" w:line="240" w:lineRule="auto"/>
            </w:pP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2E14" w:rsidRPr="00D27E3E" w:rsidRDefault="00842E14" w:rsidP="00C91396"/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42E14" w:rsidRDefault="00842E14" w:rsidP="00C91396">
            <w:pPr>
              <w:spacing w:after="0" w:line="240" w:lineRule="auto"/>
            </w:pPr>
          </w:p>
        </w:tc>
      </w:tr>
    </w:tbl>
    <w:p w:rsidR="00FC75AE" w:rsidRDefault="00FC75AE"/>
    <w:sectPr w:rsidR="00FC75AE" w:rsidSect="0043689D">
      <w:pgSz w:w="28917" w:h="20412" w:orient="landscape"/>
      <w:pgMar w:top="1440" w:right="15575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96"/>
    <w:rsid w:val="003C3E0F"/>
    <w:rsid w:val="0043689D"/>
    <w:rsid w:val="00842E14"/>
    <w:rsid w:val="00C91396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FB2EE-E3AC-4F99-97A2-7CAF4D7E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9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C91396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39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1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3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2019-01-16T10:13:00Z</dcterms:created>
  <dcterms:modified xsi:type="dcterms:W3CDTF">2019-01-16T12:50:00Z</dcterms:modified>
</cp:coreProperties>
</file>